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FC16D9">
        <w:rPr>
          <w:rFonts w:ascii="Palatino Linotype" w:hAnsi="Palatino Linotype" w:cs="Arial"/>
          <w:b/>
          <w:sz w:val="24"/>
          <w:szCs w:val="24"/>
        </w:rPr>
        <w:t>03379</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Restringir el derecho de acceso a la información pública del particular al no ordenar la información solicitada por no impugnar la falta de entrega de </w:t>
      </w:r>
      <w:r w:rsidR="00F15D8D">
        <w:rPr>
          <w:rFonts w:ascii="Palatino Linotype" w:hAnsi="Palatino Linotype" w:cs="Arial"/>
          <w:sz w:val="24"/>
          <w:szCs w:val="24"/>
        </w:rPr>
        <w:t>algunos</w:t>
      </w:r>
      <w:r w:rsidRPr="0001046D">
        <w:rPr>
          <w:rFonts w:ascii="Palatino Linotype" w:hAnsi="Palatino Linotype" w:cs="Arial"/>
          <w:sz w:val="24"/>
          <w:szCs w:val="24"/>
        </w:rPr>
        <w:t xml:space="preserve">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EA2C08" w:rsidRP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dentro del margen de sus atribuciones, de prevenir violaciones a los derechos fundamentales.</w:t>
      </w:r>
    </w:p>
    <w:p w:rsidR="0046491C" w:rsidRPr="0001046D" w:rsidRDefault="00EA2C08"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15D8D"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0499260" w:history="1">
            <w:r w:rsidR="00F15D8D" w:rsidRPr="00B11D28">
              <w:rPr>
                <w:rStyle w:val="Hipervnculo"/>
                <w:rFonts w:ascii="Palatino Linotype" w:hAnsi="Palatino Linotype"/>
                <w:b/>
                <w:noProof/>
              </w:rPr>
              <w:t>I.</w:t>
            </w:r>
            <w:r w:rsidR="00F15D8D">
              <w:rPr>
                <w:rFonts w:eastAsiaTheme="minorEastAsia"/>
                <w:noProof/>
                <w:lang w:eastAsia="es-MX"/>
              </w:rPr>
              <w:tab/>
            </w:r>
            <w:r w:rsidR="00F15D8D" w:rsidRPr="00B11D28">
              <w:rPr>
                <w:rStyle w:val="Hipervnculo"/>
                <w:rFonts w:ascii="Palatino Linotype" w:hAnsi="Palatino Linotype"/>
                <w:b/>
                <w:noProof/>
              </w:rPr>
              <w:t>Consideraciones Generales.</w:t>
            </w:r>
            <w:r w:rsidR="00F15D8D">
              <w:rPr>
                <w:noProof/>
                <w:webHidden/>
              </w:rPr>
              <w:tab/>
            </w:r>
            <w:r w:rsidR="00F15D8D">
              <w:rPr>
                <w:noProof/>
                <w:webHidden/>
              </w:rPr>
              <w:fldChar w:fldCharType="begin"/>
            </w:r>
            <w:r w:rsidR="00F15D8D">
              <w:rPr>
                <w:noProof/>
                <w:webHidden/>
              </w:rPr>
              <w:instrText xml:space="preserve"> PAGEREF _Toc530499260 \h </w:instrText>
            </w:r>
            <w:r w:rsidR="00F15D8D">
              <w:rPr>
                <w:noProof/>
                <w:webHidden/>
              </w:rPr>
            </w:r>
            <w:r w:rsidR="00F15D8D">
              <w:rPr>
                <w:noProof/>
                <w:webHidden/>
              </w:rPr>
              <w:fldChar w:fldCharType="separate"/>
            </w:r>
            <w:r w:rsidR="00F15D8D">
              <w:rPr>
                <w:noProof/>
                <w:webHidden/>
              </w:rPr>
              <w:t>2</w:t>
            </w:r>
            <w:r w:rsidR="00F15D8D">
              <w:rPr>
                <w:noProof/>
                <w:webHidden/>
              </w:rPr>
              <w:fldChar w:fldCharType="end"/>
            </w:r>
          </w:hyperlink>
        </w:p>
        <w:p w:rsidR="00F15D8D" w:rsidRDefault="00ED4A88">
          <w:pPr>
            <w:pStyle w:val="TDC1"/>
            <w:rPr>
              <w:rFonts w:eastAsiaTheme="minorEastAsia"/>
              <w:noProof/>
              <w:lang w:eastAsia="es-MX"/>
            </w:rPr>
          </w:pPr>
          <w:hyperlink w:anchor="_Toc530499261" w:history="1">
            <w:r w:rsidR="00F15D8D" w:rsidRPr="00B11D28">
              <w:rPr>
                <w:rStyle w:val="Hipervnculo"/>
                <w:rFonts w:ascii="Palatino Linotype" w:hAnsi="Palatino Linotype"/>
                <w:b/>
                <w:noProof/>
              </w:rPr>
              <w:t>II.</w:t>
            </w:r>
            <w:r w:rsidR="00F15D8D">
              <w:rPr>
                <w:rFonts w:eastAsiaTheme="minorEastAsia"/>
                <w:noProof/>
                <w:lang w:eastAsia="es-MX"/>
              </w:rPr>
              <w:tab/>
            </w:r>
            <w:r w:rsidR="00F15D8D" w:rsidRPr="00B11D28">
              <w:rPr>
                <w:rStyle w:val="Hipervnculo"/>
                <w:rFonts w:ascii="Palatino Linotype" w:hAnsi="Palatino Linotype"/>
                <w:b/>
                <w:noProof/>
              </w:rPr>
              <w:t>De los requerimientos planteados en el recurso de revisión.</w:t>
            </w:r>
            <w:r w:rsidR="00F15D8D">
              <w:rPr>
                <w:noProof/>
                <w:webHidden/>
              </w:rPr>
              <w:tab/>
            </w:r>
            <w:r w:rsidR="00F15D8D">
              <w:rPr>
                <w:noProof/>
                <w:webHidden/>
              </w:rPr>
              <w:fldChar w:fldCharType="begin"/>
            </w:r>
            <w:r w:rsidR="00F15D8D">
              <w:rPr>
                <w:noProof/>
                <w:webHidden/>
              </w:rPr>
              <w:instrText xml:space="preserve"> PAGEREF _Toc530499261 \h </w:instrText>
            </w:r>
            <w:r w:rsidR="00F15D8D">
              <w:rPr>
                <w:noProof/>
                <w:webHidden/>
              </w:rPr>
            </w:r>
            <w:r w:rsidR="00F15D8D">
              <w:rPr>
                <w:noProof/>
                <w:webHidden/>
              </w:rPr>
              <w:fldChar w:fldCharType="separate"/>
            </w:r>
            <w:r w:rsidR="00F15D8D">
              <w:rPr>
                <w:noProof/>
                <w:webHidden/>
              </w:rPr>
              <w:t>3</w:t>
            </w:r>
            <w:r w:rsidR="00F15D8D">
              <w:rPr>
                <w:noProof/>
                <w:webHidden/>
              </w:rPr>
              <w:fldChar w:fldCharType="end"/>
            </w:r>
          </w:hyperlink>
        </w:p>
        <w:p w:rsidR="00F15D8D" w:rsidRDefault="00ED4A88">
          <w:pPr>
            <w:pStyle w:val="TDC1"/>
            <w:rPr>
              <w:rFonts w:eastAsiaTheme="minorEastAsia"/>
              <w:noProof/>
              <w:lang w:eastAsia="es-MX"/>
            </w:rPr>
          </w:pPr>
          <w:hyperlink w:anchor="_Toc530499262" w:history="1">
            <w:r w:rsidR="00F15D8D" w:rsidRPr="00B11D28">
              <w:rPr>
                <w:rStyle w:val="Hipervnculo"/>
                <w:rFonts w:ascii="Palatino Linotype" w:hAnsi="Palatino Linotype"/>
                <w:b/>
                <w:noProof/>
              </w:rPr>
              <w:t>III.</w:t>
            </w:r>
            <w:r w:rsidR="00F15D8D">
              <w:rPr>
                <w:rFonts w:eastAsiaTheme="minorEastAsia"/>
                <w:noProof/>
                <w:lang w:eastAsia="es-MX"/>
              </w:rPr>
              <w:tab/>
            </w:r>
            <w:r w:rsidR="00F15D8D" w:rsidRPr="00B11D28">
              <w:rPr>
                <w:rStyle w:val="Hipervnculo"/>
                <w:rFonts w:ascii="Palatino Linotype" w:hAnsi="Palatino Linotype"/>
                <w:b/>
                <w:noProof/>
              </w:rPr>
              <w:t>Los actos consentidos no deben invocarse en el derecho fundamental de acceder a la información pública gubernamental.</w:t>
            </w:r>
            <w:r w:rsidR="00F15D8D">
              <w:rPr>
                <w:noProof/>
                <w:webHidden/>
              </w:rPr>
              <w:tab/>
            </w:r>
            <w:r w:rsidR="00F15D8D">
              <w:rPr>
                <w:noProof/>
                <w:webHidden/>
              </w:rPr>
              <w:fldChar w:fldCharType="begin"/>
            </w:r>
            <w:r w:rsidR="00F15D8D">
              <w:rPr>
                <w:noProof/>
                <w:webHidden/>
              </w:rPr>
              <w:instrText xml:space="preserve"> PAGEREF _Toc530499262 \h </w:instrText>
            </w:r>
            <w:r w:rsidR="00F15D8D">
              <w:rPr>
                <w:noProof/>
                <w:webHidden/>
              </w:rPr>
            </w:r>
            <w:r w:rsidR="00F15D8D">
              <w:rPr>
                <w:noProof/>
                <w:webHidden/>
              </w:rPr>
              <w:fldChar w:fldCharType="separate"/>
            </w:r>
            <w:r w:rsidR="00F15D8D">
              <w:rPr>
                <w:noProof/>
                <w:webHidden/>
              </w:rPr>
              <w:t>9</w:t>
            </w:r>
            <w:r w:rsidR="00F15D8D">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0499260"/>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FC16D9">
        <w:rPr>
          <w:rFonts w:ascii="Palatino Linotype" w:hAnsi="Palatino Linotype" w:cs="Arial"/>
          <w:sz w:val="24"/>
          <w:szCs w:val="24"/>
        </w:rPr>
        <w:t>Cuadragésimo</w:t>
      </w:r>
      <w:r w:rsidR="003837C2">
        <w:rPr>
          <w:rFonts w:ascii="Palatino Linotype" w:hAnsi="Palatino Linotype" w:cs="Arial"/>
          <w:sz w:val="24"/>
          <w:szCs w:val="24"/>
        </w:rPr>
        <w:t xml:space="preserve"> </w:t>
      </w:r>
      <w:r w:rsidR="00FC16D9">
        <w:rPr>
          <w:rFonts w:ascii="Palatino Linotype" w:hAnsi="Palatino Linotype" w:cs="Arial"/>
          <w:sz w:val="24"/>
          <w:szCs w:val="24"/>
        </w:rPr>
        <w:t>Segunda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rdinaria, celebrada el catorce</w:t>
      </w:r>
      <w:r w:rsidRPr="00E34F08">
        <w:rPr>
          <w:rFonts w:ascii="Palatino Linotype" w:hAnsi="Palatino Linotype" w:cs="Arial"/>
          <w:sz w:val="24"/>
          <w:szCs w:val="24"/>
        </w:rPr>
        <w:t xml:space="preserve"> (</w:t>
      </w:r>
      <w:r w:rsidR="00FC16D9">
        <w:rPr>
          <w:rFonts w:ascii="Palatino Linotype" w:hAnsi="Palatino Linotype" w:cs="Arial"/>
          <w:sz w:val="24"/>
          <w:szCs w:val="24"/>
        </w:rPr>
        <w:t>14</w:t>
      </w:r>
      <w:r w:rsidR="00225026" w:rsidRPr="00E34F08">
        <w:rPr>
          <w:rFonts w:ascii="Palatino Linotype" w:hAnsi="Palatino Linotype" w:cs="Arial"/>
          <w:sz w:val="24"/>
          <w:szCs w:val="24"/>
        </w:rPr>
        <w:t xml:space="preserve">) de </w:t>
      </w:r>
      <w:r w:rsidR="00FC16D9">
        <w:rPr>
          <w:rFonts w:ascii="Palatino Linotype" w:hAnsi="Palatino Linotype" w:cs="Arial"/>
          <w:sz w:val="24"/>
          <w:szCs w:val="24"/>
        </w:rPr>
        <w:t>noviembre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BB5560" w:rsidRPr="00BB5560">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el </w:t>
      </w:r>
      <w:r w:rsidR="00FC16D9">
        <w:rPr>
          <w:rFonts w:ascii="Palatino Linotype" w:eastAsia="Calibri" w:hAnsi="Palatino Linotype" w:cs="Times New Roman"/>
          <w:b/>
          <w:sz w:val="24"/>
          <w:szCs w:val="24"/>
          <w:lang w:val="es-ES" w:eastAsia="es-ES"/>
        </w:rPr>
        <w:t xml:space="preserve">Ayuntamiento de </w:t>
      </w:r>
      <w:proofErr w:type="spellStart"/>
      <w:r w:rsidR="00FC16D9">
        <w:rPr>
          <w:rFonts w:ascii="Palatino Linotype" w:eastAsia="Calibri" w:hAnsi="Palatino Linotype" w:cs="Times New Roman"/>
          <w:b/>
          <w:sz w:val="24"/>
          <w:szCs w:val="24"/>
          <w:lang w:val="es-ES" w:eastAsia="es-ES"/>
        </w:rPr>
        <w:t>Meteoec</w:t>
      </w:r>
      <w:proofErr w:type="spellEnd"/>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FC16D9">
        <w:rPr>
          <w:rFonts w:ascii="Palatino Linotype" w:eastAsia="Times New Roman" w:hAnsi="Palatino Linotype" w:cs="Arial"/>
          <w:b/>
          <w:bCs/>
          <w:sz w:val="24"/>
          <w:szCs w:val="24"/>
          <w:lang w:eastAsia="es-ES"/>
        </w:rPr>
        <w:t>03379</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resultaban </w:t>
      </w:r>
      <w:r w:rsidR="003837C2">
        <w:rPr>
          <w:rFonts w:ascii="Palatino Linotype" w:hAnsi="Palatino Linotype" w:cs="Arial"/>
          <w:sz w:val="24"/>
          <w:szCs w:val="24"/>
        </w:rPr>
        <w:t xml:space="preserve">parcialmente </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01046D">
        <w:rPr>
          <w:rFonts w:ascii="Palatino Linotype" w:hAnsi="Palatino Linotype" w:cs="Arial"/>
          <w:b/>
          <w:sz w:val="24"/>
          <w:szCs w:val="24"/>
        </w:rPr>
        <w:t xml:space="preserve">el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3837C2">
        <w:rPr>
          <w:rFonts w:ascii="Palatino Linotype" w:hAnsi="Palatino Linotype" w:cs="Arial"/>
          <w:sz w:val="24"/>
          <w:szCs w:val="24"/>
        </w:rPr>
        <w:t>C</w:t>
      </w:r>
      <w:r w:rsidR="00BF3534" w:rsidRPr="0001046D">
        <w:rPr>
          <w:rFonts w:ascii="Palatino Linotype" w:hAnsi="Palatino Linotype" w:cs="Arial"/>
          <w:sz w:val="24"/>
          <w:szCs w:val="24"/>
        </w:rPr>
        <w:t>uarto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424DE3">
        <w:rPr>
          <w:rFonts w:ascii="Palatino Linotype" w:hAnsi="Palatino Linotype" w:cs="Arial"/>
          <w:sz w:val="24"/>
          <w:szCs w:val="24"/>
        </w:rPr>
        <w:t>consideró</w:t>
      </w:r>
      <w:r w:rsidR="00BF3534" w:rsidRPr="0001046D">
        <w:rPr>
          <w:rFonts w:ascii="Palatino Linotype" w:hAnsi="Palatino Linotype" w:cs="Arial"/>
          <w:sz w:val="24"/>
          <w:szCs w:val="24"/>
        </w:rPr>
        <w:t xml:space="preserve"> </w:t>
      </w:r>
      <w:r w:rsidR="006E1859">
        <w:rPr>
          <w:rFonts w:ascii="Palatino Linotype" w:hAnsi="Palatino Linotype" w:cs="Arial"/>
          <w:b/>
          <w:sz w:val="24"/>
          <w:szCs w:val="24"/>
        </w:rPr>
        <w:t>MODIFICAR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3837C2">
        <w:rPr>
          <w:rFonts w:ascii="Palatino Linotype" w:hAnsi="Palatino Linotype" w:cs="Arial"/>
          <w:sz w:val="24"/>
          <w:szCs w:val="24"/>
        </w:rPr>
        <w:t>,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w:t>
      </w:r>
      <w:r w:rsidR="0046491C" w:rsidRPr="003837C2">
        <w:rPr>
          <w:rFonts w:ascii="Palatino Linotype" w:hAnsi="Palatino Linotype" w:cs="Arial"/>
          <w:sz w:val="24"/>
          <w:szCs w:val="24"/>
        </w:rPr>
        <w:lastRenderedPageBreak/>
        <w:t>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0499261"/>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w:t>
      </w:r>
      <w:r w:rsidR="00FF3CDD">
        <w:rPr>
          <w:rFonts w:ascii="Palatino Linotype" w:hAnsi="Palatino Linotype" w:cs="Arial"/>
          <w:sz w:val="24"/>
          <w:szCs w:val="24"/>
        </w:rPr>
        <w:t>l</w:t>
      </w:r>
      <w:r w:rsidR="00413496" w:rsidRPr="00F25783">
        <w:rPr>
          <w:rFonts w:ascii="Palatino Linotype" w:hAnsi="Palatino Linotype" w:cs="Arial"/>
          <w:sz w:val="24"/>
          <w:szCs w:val="24"/>
        </w:rPr>
        <w:t xml:space="preserve"> </w:t>
      </w:r>
      <w:r w:rsidR="00FF3CDD">
        <w:rPr>
          <w:rFonts w:ascii="Palatino Linotype" w:hAnsi="Palatino Linotype" w:cs="Arial"/>
          <w:b/>
          <w:sz w:val="24"/>
          <w:szCs w:val="24"/>
        </w:rPr>
        <w:t>Ayuntamiento de Metepec</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FF3CDD" w:rsidRPr="00B94DA0" w:rsidRDefault="00FF3CDD" w:rsidP="00FF3CDD">
      <w:pPr>
        <w:ind w:left="851" w:right="900"/>
        <w:jc w:val="both"/>
        <w:rPr>
          <w:rFonts w:ascii="Palatino Linotype" w:hAnsi="Palatino Linotype" w:cs="Arial"/>
          <w:b/>
          <w:i/>
        </w:rPr>
      </w:pPr>
      <w:r w:rsidRPr="00506538">
        <w:rPr>
          <w:rFonts w:ascii="Palatino Linotype" w:hAnsi="Palatino Linotype" w:cs="Arial"/>
          <w:i/>
          <w:lang w:eastAsia="es-MX"/>
        </w:rPr>
        <w:t>“</w:t>
      </w:r>
      <w:r w:rsidRPr="003900D7">
        <w:rPr>
          <w:rFonts w:ascii="Palatino Linotype" w:hAnsi="Palatino Linotype"/>
          <w:i/>
        </w:rPr>
        <w:t xml:space="preserve">1.Cuales son los permisos administrativos y de salubridad que se necesitan para abrir una veterinaria en el municipio de Metepec. </w:t>
      </w:r>
      <w:proofErr w:type="gramStart"/>
      <w:r w:rsidRPr="003900D7">
        <w:rPr>
          <w:rFonts w:ascii="Palatino Linotype" w:hAnsi="Palatino Linotype"/>
          <w:i/>
        </w:rPr>
        <w:t>2.Cuales</w:t>
      </w:r>
      <w:proofErr w:type="gramEnd"/>
      <w:r w:rsidRPr="003900D7">
        <w:rPr>
          <w:rFonts w:ascii="Palatino Linotype" w:hAnsi="Palatino Linotype"/>
          <w:i/>
        </w:rPr>
        <w:t xml:space="preserve"> son los impuestos y derechos municipales que se deben pagar para abrir y mantener en servicio una veterinaria en el municipio de Metepec. </w:t>
      </w:r>
      <w:proofErr w:type="gramStart"/>
      <w:r w:rsidRPr="003900D7">
        <w:rPr>
          <w:rFonts w:ascii="Palatino Linotype" w:hAnsi="Palatino Linotype"/>
          <w:i/>
        </w:rPr>
        <w:t>3.Cuales</w:t>
      </w:r>
      <w:proofErr w:type="gramEnd"/>
      <w:r w:rsidRPr="003900D7">
        <w:rPr>
          <w:rFonts w:ascii="Palatino Linotype" w:hAnsi="Palatino Linotype"/>
          <w:i/>
        </w:rPr>
        <w:t xml:space="preserve"> son las sanciones en caso de que un establecimiento de veterinaria este dando servicio sin los permisos ni pago de impuestos, ni derechos que se tiene obligación de tener y cubrir en Metepec. </w:t>
      </w:r>
      <w:proofErr w:type="gramStart"/>
      <w:r w:rsidRPr="003900D7">
        <w:rPr>
          <w:rFonts w:ascii="Palatino Linotype" w:hAnsi="Palatino Linotype"/>
          <w:i/>
        </w:rPr>
        <w:t>4.La</w:t>
      </w:r>
      <w:proofErr w:type="gramEnd"/>
      <w:r w:rsidRPr="003900D7">
        <w:rPr>
          <w:rFonts w:ascii="Palatino Linotype" w:hAnsi="Palatino Linotype"/>
          <w:i/>
        </w:rPr>
        <w:t xml:space="preserve"> dirección de medio ambiente de Metepec puede emitir dictámenes de opinión para otorgar, negar o revocar las licencias municipales para servicios privados, que afecten la fauna, o afecten la salud pública? </w:t>
      </w:r>
      <w:proofErr w:type="gramStart"/>
      <w:r w:rsidRPr="003900D7">
        <w:rPr>
          <w:rFonts w:ascii="Palatino Linotype" w:hAnsi="Palatino Linotype"/>
          <w:i/>
        </w:rPr>
        <w:t>5.Que</w:t>
      </w:r>
      <w:proofErr w:type="gramEnd"/>
      <w:r w:rsidRPr="003900D7">
        <w:rPr>
          <w:rFonts w:ascii="Palatino Linotype" w:hAnsi="Palatino Linotype"/>
          <w:i/>
        </w:rPr>
        <w:t xml:space="preserve"> dirección del ayuntamiento de Metepec es la responsable del cuidado de los animales y quien es el titular? </w:t>
      </w:r>
      <w:proofErr w:type="gramStart"/>
      <w:r w:rsidRPr="003900D7">
        <w:rPr>
          <w:rFonts w:ascii="Palatino Linotype" w:hAnsi="Palatino Linotype"/>
          <w:i/>
        </w:rPr>
        <w:t>6.La</w:t>
      </w:r>
      <w:proofErr w:type="gramEnd"/>
      <w:r w:rsidRPr="003900D7">
        <w:rPr>
          <w:rFonts w:ascii="Palatino Linotype" w:hAnsi="Palatino Linotype"/>
          <w:i/>
        </w:rPr>
        <w:t xml:space="preserve"> dirección de medio ambiente de Metepec puede recibir y atender quejas sobre maltrato animal? </w:t>
      </w:r>
      <w:proofErr w:type="gramStart"/>
      <w:r w:rsidRPr="003900D7">
        <w:rPr>
          <w:rFonts w:ascii="Palatino Linotype" w:hAnsi="Palatino Linotype"/>
          <w:i/>
        </w:rPr>
        <w:t>7.La</w:t>
      </w:r>
      <w:proofErr w:type="gramEnd"/>
      <w:r w:rsidRPr="003900D7">
        <w:rPr>
          <w:rFonts w:ascii="Palatino Linotype" w:hAnsi="Palatino Linotype"/>
          <w:i/>
        </w:rPr>
        <w:t xml:space="preserve"> dirección de medio ambiente de Metepec puede ordenar y ejecutar visitas de inspección a personas que den servicios de veterinaria y aplicar las medidas de apremio y de seguridad, conforme a las disposiciones legales en caso de incumplimiento? 8.Solicito información si el establecimiento que al </w:t>
      </w:r>
      <w:r w:rsidRPr="003900D7">
        <w:rPr>
          <w:rFonts w:ascii="Palatino Linotype" w:hAnsi="Palatino Linotype"/>
          <w:i/>
        </w:rPr>
        <w:lastRenderedPageBreak/>
        <w:t xml:space="preserve">parecer da servicio de veterinaria sin nombre ni número exterior pero que le debe corresponder el número </w:t>
      </w:r>
      <w:r w:rsidR="00BB5560" w:rsidRPr="00BB5560">
        <w:rPr>
          <w:rFonts w:ascii="Palatino Linotype" w:hAnsi="Palatino Linotype"/>
          <w:i/>
          <w:highlight w:val="black"/>
        </w:rPr>
        <w:t>----</w:t>
      </w:r>
      <w:r w:rsidRPr="00BB5560">
        <w:rPr>
          <w:rFonts w:ascii="Palatino Linotype" w:hAnsi="Palatino Linotype"/>
          <w:i/>
          <w:highlight w:val="black"/>
        </w:rPr>
        <w:t xml:space="preserve"> </w:t>
      </w:r>
      <w:r w:rsidR="00BB5560" w:rsidRPr="00BB5560">
        <w:rPr>
          <w:rFonts w:ascii="Palatino Linotype" w:hAnsi="Palatino Linotype"/>
          <w:i/>
          <w:highlight w:val="black"/>
        </w:rPr>
        <w:t>-------</w:t>
      </w:r>
      <w:r w:rsidRPr="003900D7">
        <w:rPr>
          <w:rFonts w:ascii="Palatino Linotype" w:hAnsi="Palatino Linotype"/>
          <w:i/>
        </w:rPr>
        <w:t xml:space="preserve"> de la calle </w:t>
      </w:r>
      <w:r w:rsidR="00BB5560" w:rsidRPr="00BB5560">
        <w:rPr>
          <w:rFonts w:ascii="Palatino Linotype" w:hAnsi="Palatino Linotype"/>
          <w:i/>
          <w:highlight w:val="black"/>
        </w:rPr>
        <w:t>-----</w:t>
      </w:r>
      <w:r w:rsidRPr="003900D7">
        <w:rPr>
          <w:rFonts w:ascii="Palatino Linotype" w:hAnsi="Palatino Linotype"/>
          <w:i/>
        </w:rPr>
        <w:t xml:space="preserve"> en la colonia </w:t>
      </w:r>
      <w:r w:rsidR="00BB5560" w:rsidRPr="00BB5560">
        <w:rPr>
          <w:rFonts w:ascii="Palatino Linotype" w:hAnsi="Palatino Linotype"/>
          <w:i/>
          <w:highlight w:val="black"/>
        </w:rPr>
        <w:t>-----------------</w:t>
      </w:r>
      <w:r w:rsidRPr="003900D7">
        <w:rPr>
          <w:rFonts w:ascii="Palatino Linotype" w:hAnsi="Palatino Linotype"/>
          <w:i/>
        </w:rPr>
        <w:t xml:space="preserve"> en Metepec, (la casa habitación que esta junto del lado izquierdo es la número </w:t>
      </w:r>
      <w:r w:rsidR="00BB5560" w:rsidRPr="00BB5560">
        <w:rPr>
          <w:rFonts w:ascii="Palatino Linotype" w:hAnsi="Palatino Linotype"/>
          <w:i/>
          <w:highlight w:val="black"/>
        </w:rPr>
        <w:t>---</w:t>
      </w:r>
      <w:r w:rsidRPr="00BB5560">
        <w:rPr>
          <w:rFonts w:ascii="Palatino Linotype" w:hAnsi="Palatino Linotype"/>
          <w:i/>
          <w:highlight w:val="black"/>
        </w:rPr>
        <w:t xml:space="preserve"> </w:t>
      </w:r>
      <w:r w:rsidR="00BB5560" w:rsidRPr="00BB5560">
        <w:rPr>
          <w:rFonts w:ascii="Palatino Linotype" w:hAnsi="Palatino Linotype"/>
          <w:i/>
          <w:highlight w:val="black"/>
        </w:rPr>
        <w:t>---------</w:t>
      </w:r>
      <w:r w:rsidRPr="003900D7">
        <w:rPr>
          <w:rFonts w:ascii="Palatino Linotype" w:hAnsi="Palatino Linotype"/>
          <w:i/>
        </w:rPr>
        <w:t xml:space="preserve"> y del lado derecho esta la tienda abarrotes </w:t>
      </w:r>
      <w:r w:rsidR="00BD7839" w:rsidRPr="00BD7839">
        <w:rPr>
          <w:rFonts w:ascii="Palatino Linotype" w:hAnsi="Palatino Linotype"/>
          <w:i/>
          <w:highlight w:val="black"/>
        </w:rPr>
        <w:t>------------</w:t>
      </w:r>
      <w:bookmarkStart w:id="2" w:name="_GoBack"/>
      <w:bookmarkEnd w:id="2"/>
      <w:r w:rsidRPr="003900D7">
        <w:rPr>
          <w:rFonts w:ascii="Palatino Linotype" w:hAnsi="Palatino Linotype"/>
          <w:i/>
        </w:rPr>
        <w:t xml:space="preserve">, a media cuadra del SAT en las torres)(se agregan fotografías para mejor referencia) cuenta con los permisos administrativos y de salubridad necesarios para dar el servicio de veterinaria, si es así pido se demuestre. </w:t>
      </w:r>
      <w:proofErr w:type="gramStart"/>
      <w:r w:rsidRPr="003900D7">
        <w:rPr>
          <w:rFonts w:ascii="Palatino Linotype" w:hAnsi="Palatino Linotype"/>
          <w:i/>
        </w:rPr>
        <w:t>9.La</w:t>
      </w:r>
      <w:proofErr w:type="gramEnd"/>
      <w:r w:rsidRPr="003900D7">
        <w:rPr>
          <w:rFonts w:ascii="Palatino Linotype" w:hAnsi="Palatino Linotype"/>
          <w:i/>
        </w:rPr>
        <w:t xml:space="preserve"> casa habitación donde se localiza el establecimiento supuestamente de veterinaria mencionada en el numero 8 cuenta con la licencia de funcionamiento para dar servicio de veterinaria, pidiendo se demuestre. 10</w:t>
      </w:r>
      <w:proofErr w:type="gramStart"/>
      <w:r w:rsidRPr="003900D7">
        <w:rPr>
          <w:rFonts w:ascii="Palatino Linotype" w:hAnsi="Palatino Linotype"/>
          <w:i/>
        </w:rPr>
        <w:t>.El</w:t>
      </w:r>
      <w:proofErr w:type="gramEnd"/>
      <w:r w:rsidRPr="003900D7">
        <w:rPr>
          <w:rFonts w:ascii="Palatino Linotype" w:hAnsi="Palatino Linotype"/>
          <w:i/>
        </w:rPr>
        <w:t xml:space="preserve"> establecimiento mencionado en el numero 8 cuenta con permiso del ayuntamiento para otorgar servicio de pensión y resguardo animal en zona habitacional de acuerdo a la normatividad, y cual dirección del </w:t>
      </w:r>
      <w:proofErr w:type="spellStart"/>
      <w:r w:rsidRPr="003900D7">
        <w:rPr>
          <w:rFonts w:ascii="Palatino Linotype" w:hAnsi="Palatino Linotype"/>
          <w:i/>
        </w:rPr>
        <w:t>munciipio</w:t>
      </w:r>
      <w:proofErr w:type="spellEnd"/>
      <w:r w:rsidRPr="003900D7">
        <w:rPr>
          <w:rFonts w:ascii="Palatino Linotype" w:hAnsi="Palatino Linotype"/>
          <w:i/>
        </w:rPr>
        <w:t xml:space="preserve"> de Metepec la dio pidiendo se demuestre. 11</w:t>
      </w:r>
      <w:proofErr w:type="gramStart"/>
      <w:r w:rsidRPr="003900D7">
        <w:rPr>
          <w:rFonts w:ascii="Palatino Linotype" w:hAnsi="Palatino Linotype"/>
          <w:i/>
        </w:rPr>
        <w:t>.La</w:t>
      </w:r>
      <w:proofErr w:type="gramEnd"/>
      <w:r w:rsidRPr="003900D7">
        <w:rPr>
          <w:rFonts w:ascii="Palatino Linotype" w:hAnsi="Palatino Linotype"/>
          <w:i/>
        </w:rPr>
        <w:t xml:space="preserve"> dirección de medio ambiente de </w:t>
      </w:r>
      <w:proofErr w:type="spellStart"/>
      <w:r w:rsidRPr="003900D7">
        <w:rPr>
          <w:rFonts w:ascii="Palatino Linotype" w:hAnsi="Palatino Linotype"/>
          <w:i/>
        </w:rPr>
        <w:t>metepec</w:t>
      </w:r>
      <w:proofErr w:type="spellEnd"/>
      <w:r w:rsidRPr="003900D7">
        <w:rPr>
          <w:rFonts w:ascii="Palatino Linotype" w:hAnsi="Palatino Linotype"/>
          <w:i/>
        </w:rPr>
        <w:t xml:space="preserve"> otorgo el visto bueno para la autorización de apertura del establecimiento mencionado en el numero 8? 12.La dirección de medio ambiente de Metepec ha emitido algún dictamen respecto al del establecimiento mencionado en el </w:t>
      </w:r>
      <w:proofErr w:type="spellStart"/>
      <w:r w:rsidRPr="003900D7">
        <w:rPr>
          <w:rFonts w:ascii="Palatino Linotype" w:hAnsi="Palatino Linotype"/>
          <w:i/>
        </w:rPr>
        <w:t>numero</w:t>
      </w:r>
      <w:proofErr w:type="spellEnd"/>
      <w:r w:rsidRPr="003900D7">
        <w:rPr>
          <w:rFonts w:ascii="Palatino Linotype" w:hAnsi="Palatino Linotype"/>
          <w:i/>
        </w:rPr>
        <w:t xml:space="preserve"> 8, supuestamente de veterinaria respecto a que se encuentra en una zona habitacional? 13</w:t>
      </w:r>
      <w:proofErr w:type="gramStart"/>
      <w:r w:rsidRPr="003900D7">
        <w:rPr>
          <w:rFonts w:ascii="Palatino Linotype" w:hAnsi="Palatino Linotype"/>
          <w:i/>
        </w:rPr>
        <w:t>.Pido</w:t>
      </w:r>
      <w:proofErr w:type="gramEnd"/>
      <w:r w:rsidRPr="003900D7">
        <w:rPr>
          <w:rFonts w:ascii="Palatino Linotype" w:hAnsi="Palatino Linotype"/>
          <w:i/>
        </w:rPr>
        <w:t xml:space="preserve"> se me presente la licencia de funcionamiento y de uso de suelo del establecimiento mencionado en el numero 8 dado por el ayuntamiento de </w:t>
      </w:r>
      <w:proofErr w:type="spellStart"/>
      <w:r w:rsidRPr="003900D7">
        <w:rPr>
          <w:rFonts w:ascii="Palatino Linotype" w:hAnsi="Palatino Linotype"/>
          <w:i/>
        </w:rPr>
        <w:t>metepec</w:t>
      </w:r>
      <w:proofErr w:type="spellEnd"/>
      <w:r w:rsidRPr="003900D7">
        <w:rPr>
          <w:rFonts w:ascii="Palatino Linotype" w:hAnsi="Palatino Linotype"/>
          <w:i/>
        </w:rPr>
        <w:t xml:space="preserve"> para dar el servicio de veterinaria y quien los otorgo. 14</w:t>
      </w:r>
      <w:proofErr w:type="gramStart"/>
      <w:r w:rsidRPr="003900D7">
        <w:rPr>
          <w:rFonts w:ascii="Palatino Linotype" w:hAnsi="Palatino Linotype"/>
          <w:i/>
        </w:rPr>
        <w:t>.La</w:t>
      </w:r>
      <w:proofErr w:type="gramEnd"/>
      <w:r w:rsidRPr="003900D7">
        <w:rPr>
          <w:rFonts w:ascii="Palatino Linotype" w:hAnsi="Palatino Linotype"/>
          <w:i/>
        </w:rPr>
        <w:t xml:space="preserve"> dirección de medio ambiente de Metepec ha realizado visitas de inspección a la supuesta veterinaria mencionada en el </w:t>
      </w:r>
      <w:proofErr w:type="spellStart"/>
      <w:r w:rsidRPr="003900D7">
        <w:rPr>
          <w:rFonts w:ascii="Palatino Linotype" w:hAnsi="Palatino Linotype"/>
          <w:i/>
        </w:rPr>
        <w:t>numero</w:t>
      </w:r>
      <w:proofErr w:type="spellEnd"/>
      <w:r w:rsidRPr="003900D7">
        <w:rPr>
          <w:rFonts w:ascii="Palatino Linotype" w:hAnsi="Palatino Linotype"/>
          <w:i/>
        </w:rPr>
        <w:t xml:space="preserve"> 8, en que fechas, los nombres y cargos de los empleados del ayuntamiento de Metepec que las practicaron y en su caso se me presenten las sanciones, multas o medidas de seguridad que ha tenido en caso de incumplimiento, pido se demuestre. 15</w:t>
      </w:r>
      <w:proofErr w:type="gramStart"/>
      <w:r w:rsidRPr="003900D7">
        <w:rPr>
          <w:rFonts w:ascii="Palatino Linotype" w:hAnsi="Palatino Linotype"/>
          <w:i/>
        </w:rPr>
        <w:t>.La</w:t>
      </w:r>
      <w:proofErr w:type="gramEnd"/>
      <w:r w:rsidRPr="003900D7">
        <w:rPr>
          <w:rFonts w:ascii="Palatino Linotype" w:hAnsi="Palatino Linotype"/>
          <w:i/>
        </w:rPr>
        <w:t xml:space="preserve"> dirección de medio ambiente de Metepec, considera que la casa habitación donde se encuentra el establecimiento mencionado en el </w:t>
      </w:r>
      <w:proofErr w:type="spellStart"/>
      <w:r w:rsidRPr="003900D7">
        <w:rPr>
          <w:rFonts w:ascii="Palatino Linotype" w:hAnsi="Palatino Linotype"/>
          <w:i/>
        </w:rPr>
        <w:t>numero</w:t>
      </w:r>
      <w:proofErr w:type="spellEnd"/>
      <w:r w:rsidRPr="003900D7">
        <w:rPr>
          <w:rFonts w:ascii="Palatino Linotype" w:hAnsi="Palatino Linotype"/>
          <w:i/>
        </w:rPr>
        <w:t xml:space="preserve"> 8 es adecuada con espacios suficientes y cumple con todos los requerimientos sanitarios y administrativos para dar servicio de veterinaria? 16</w:t>
      </w:r>
      <w:proofErr w:type="gramStart"/>
      <w:r w:rsidRPr="003900D7">
        <w:rPr>
          <w:rFonts w:ascii="Palatino Linotype" w:hAnsi="Palatino Linotype"/>
          <w:i/>
        </w:rPr>
        <w:t>.El</w:t>
      </w:r>
      <w:proofErr w:type="gramEnd"/>
      <w:r w:rsidRPr="003900D7">
        <w:rPr>
          <w:rFonts w:ascii="Palatino Linotype" w:hAnsi="Palatino Linotype"/>
          <w:i/>
        </w:rPr>
        <w:t xml:space="preserve"> responsable de la supuesta veterinaria mencionada en el numero 8 tienen cedula profesional de la </w:t>
      </w:r>
      <w:proofErr w:type="spellStart"/>
      <w:r w:rsidRPr="003900D7">
        <w:rPr>
          <w:rFonts w:ascii="Palatino Linotype" w:hAnsi="Palatino Linotype"/>
          <w:i/>
        </w:rPr>
        <w:t>sep</w:t>
      </w:r>
      <w:proofErr w:type="spellEnd"/>
      <w:r w:rsidRPr="003900D7">
        <w:rPr>
          <w:rFonts w:ascii="Palatino Linotype" w:hAnsi="Palatino Linotype"/>
          <w:i/>
        </w:rPr>
        <w:t xml:space="preserve"> para ejercer la profesión de veterinario y registro ante el centro de control canino y felino de acuerdo a los antecedentes que se localizan en la dirección de medio ambiente de </w:t>
      </w:r>
      <w:proofErr w:type="spellStart"/>
      <w:r w:rsidRPr="003900D7">
        <w:rPr>
          <w:rFonts w:ascii="Palatino Linotype" w:hAnsi="Palatino Linotype"/>
          <w:i/>
        </w:rPr>
        <w:t>metepec</w:t>
      </w:r>
      <w:proofErr w:type="spellEnd"/>
      <w:r w:rsidRPr="003900D7">
        <w:rPr>
          <w:rFonts w:ascii="Palatino Linotype" w:hAnsi="Palatino Linotype"/>
          <w:i/>
        </w:rPr>
        <w:t>? 17</w:t>
      </w:r>
      <w:proofErr w:type="gramStart"/>
      <w:r w:rsidRPr="003900D7">
        <w:rPr>
          <w:rFonts w:ascii="Palatino Linotype" w:hAnsi="Palatino Linotype"/>
          <w:i/>
        </w:rPr>
        <w:t>.El</w:t>
      </w:r>
      <w:proofErr w:type="gramEnd"/>
      <w:r w:rsidRPr="003900D7">
        <w:rPr>
          <w:rFonts w:ascii="Palatino Linotype" w:hAnsi="Palatino Linotype"/>
          <w:i/>
        </w:rPr>
        <w:t xml:space="preserve"> responsable de supuesta veterinaria mencionada en el </w:t>
      </w:r>
      <w:proofErr w:type="spellStart"/>
      <w:r w:rsidRPr="003900D7">
        <w:rPr>
          <w:rFonts w:ascii="Palatino Linotype" w:hAnsi="Palatino Linotype"/>
          <w:i/>
        </w:rPr>
        <w:t>numero</w:t>
      </w:r>
      <w:proofErr w:type="spellEnd"/>
      <w:r w:rsidRPr="003900D7">
        <w:rPr>
          <w:rFonts w:ascii="Palatino Linotype" w:hAnsi="Palatino Linotype"/>
          <w:i/>
        </w:rPr>
        <w:t xml:space="preserve"> 8 se encuentra dentro del padrón de establecimientos del ayuntamiento de Metepec para vender </w:t>
      </w:r>
      <w:r w:rsidRPr="003900D7">
        <w:rPr>
          <w:rFonts w:ascii="Palatino Linotype" w:hAnsi="Palatino Linotype"/>
          <w:i/>
        </w:rPr>
        <w:lastRenderedPageBreak/>
        <w:t xml:space="preserve">productos veterinarios dentro del </w:t>
      </w:r>
      <w:proofErr w:type="spellStart"/>
      <w:r w:rsidRPr="003900D7">
        <w:rPr>
          <w:rFonts w:ascii="Palatino Linotype" w:hAnsi="Palatino Linotype"/>
          <w:i/>
        </w:rPr>
        <w:t>muncipio</w:t>
      </w:r>
      <w:proofErr w:type="spellEnd"/>
      <w:r w:rsidRPr="003900D7">
        <w:rPr>
          <w:rFonts w:ascii="Palatino Linotype" w:hAnsi="Palatino Linotype"/>
          <w:i/>
        </w:rPr>
        <w:t xml:space="preserve"> de Metepec? 18</w:t>
      </w:r>
      <w:proofErr w:type="gramStart"/>
      <w:r w:rsidRPr="003900D7">
        <w:rPr>
          <w:rFonts w:ascii="Palatino Linotype" w:hAnsi="Palatino Linotype"/>
          <w:i/>
        </w:rPr>
        <w:t>.Como</w:t>
      </w:r>
      <w:proofErr w:type="gramEnd"/>
      <w:r w:rsidRPr="003900D7">
        <w:rPr>
          <w:rFonts w:ascii="Palatino Linotype" w:hAnsi="Palatino Linotype"/>
          <w:i/>
        </w:rPr>
        <w:t xml:space="preserve"> trata los residuos biológico infecciosos el establecimiento mencionado en el número 8?</w:t>
      </w:r>
      <w:r w:rsidRPr="00B94DA0">
        <w:rPr>
          <w:rFonts w:ascii="Palatino Linotype" w:hAnsi="Palatino Linotype" w:cs="Arial"/>
          <w:i/>
          <w:lang w:eastAsia="es-MX"/>
        </w:rPr>
        <w:t>”</w:t>
      </w:r>
      <w:r w:rsidRPr="00FF3CDD">
        <w:rPr>
          <w:rFonts w:ascii="Palatino Linotype" w:hAnsi="Palatino Linotype" w:cs="Arial"/>
          <w:lang w:eastAsia="es-MX"/>
        </w:rPr>
        <w:t>(</w:t>
      </w:r>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FF3CDD" w:rsidRPr="00FF3CDD" w:rsidRDefault="00FF3CDD" w:rsidP="00FF3CDD">
      <w:pPr>
        <w:pStyle w:val="Sinespaciado"/>
        <w:ind w:left="851" w:right="567"/>
        <w:jc w:val="right"/>
        <w:rPr>
          <w:rFonts w:ascii="Palatino Linotype" w:hAnsi="Palatino Linotype"/>
          <w:i/>
          <w:lang w:val="es-ES_tradnl" w:eastAsia="es-ES"/>
        </w:rPr>
      </w:pPr>
      <w:r w:rsidRPr="00FF3CDD">
        <w:rPr>
          <w:rFonts w:ascii="Palatino Linotype" w:hAnsi="Palatino Linotype"/>
          <w:i/>
          <w:lang w:val="es-ES_tradnl" w:eastAsia="es-ES"/>
        </w:rPr>
        <w:t>Metepec, México a 22 de Agosto de 2018</w:t>
      </w:r>
    </w:p>
    <w:p w:rsidR="00FF3CDD" w:rsidRPr="00FF3CDD" w:rsidRDefault="00FF3CDD" w:rsidP="00FF3CDD">
      <w:pPr>
        <w:pStyle w:val="Sinespaciado"/>
        <w:ind w:left="851" w:right="567"/>
        <w:jc w:val="right"/>
        <w:rPr>
          <w:rFonts w:ascii="Palatino Linotype" w:hAnsi="Palatino Linotype"/>
          <w:i/>
          <w:lang w:val="es-ES_tradnl" w:eastAsia="es-ES"/>
        </w:rPr>
      </w:pPr>
      <w:r w:rsidRPr="00FF3CDD">
        <w:rPr>
          <w:rFonts w:ascii="Palatino Linotype" w:hAnsi="Palatino Linotype"/>
          <w:i/>
          <w:lang w:val="es-ES_tradnl" w:eastAsia="es-ES"/>
        </w:rPr>
        <w:t xml:space="preserve">Nombre del solicitante: </w:t>
      </w:r>
      <w:r w:rsidR="00BB5560" w:rsidRPr="00BB5560">
        <w:rPr>
          <w:rFonts w:ascii="Palatino Linotype" w:hAnsi="Palatino Linotype"/>
          <w:i/>
          <w:highlight w:val="black"/>
          <w:lang w:val="es-ES_tradnl" w:eastAsia="es-ES"/>
        </w:rPr>
        <w:t>-----------------------------------------</w:t>
      </w:r>
    </w:p>
    <w:p w:rsidR="00FF3CDD" w:rsidRPr="00FF3CDD" w:rsidRDefault="00FF3CDD" w:rsidP="00FF3CDD">
      <w:pPr>
        <w:pStyle w:val="Sinespaciado"/>
        <w:ind w:left="851" w:right="567"/>
        <w:jc w:val="right"/>
        <w:rPr>
          <w:rFonts w:ascii="Palatino Linotype" w:hAnsi="Palatino Linotype"/>
          <w:i/>
          <w:lang w:val="es-ES_tradnl" w:eastAsia="es-ES"/>
        </w:rPr>
      </w:pPr>
      <w:r w:rsidRPr="00FF3CDD">
        <w:rPr>
          <w:rFonts w:ascii="Palatino Linotype" w:hAnsi="Palatino Linotype"/>
          <w:i/>
          <w:lang w:val="es-ES_tradnl" w:eastAsia="es-ES"/>
        </w:rPr>
        <w:t>Folio de la solicitud: 00133/METEPEC/IP/2018</w:t>
      </w:r>
    </w:p>
    <w:p w:rsidR="00FF3CDD" w:rsidRDefault="00FF3CDD" w:rsidP="00FF3CDD">
      <w:pPr>
        <w:pStyle w:val="Sinespaciado"/>
        <w:ind w:left="851" w:right="567"/>
        <w:jc w:val="both"/>
        <w:rPr>
          <w:rFonts w:ascii="Palatino Linotype" w:hAnsi="Palatino Linotype"/>
          <w:i/>
          <w:lang w:val="es-ES_tradnl" w:eastAsia="es-ES"/>
        </w:rPr>
      </w:pPr>
    </w:p>
    <w:p w:rsidR="00FF3CDD" w:rsidRPr="00FF3CDD" w:rsidRDefault="00FF3CDD" w:rsidP="00FF3CDD">
      <w:pPr>
        <w:pStyle w:val="Sinespaciado"/>
        <w:ind w:left="851" w:right="567"/>
        <w:jc w:val="both"/>
        <w:rPr>
          <w:rFonts w:ascii="Palatino Linotype" w:hAnsi="Palatino Linotype"/>
          <w:i/>
          <w:lang w:val="es-ES_tradnl" w:eastAsia="es-ES"/>
        </w:rPr>
      </w:pPr>
      <w:r w:rsidRPr="00FF3CDD">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F3CDD" w:rsidRDefault="00FF3CDD" w:rsidP="00FF3CDD">
      <w:pPr>
        <w:pStyle w:val="Sinespaciado"/>
        <w:ind w:left="851" w:right="567"/>
        <w:jc w:val="both"/>
        <w:rPr>
          <w:rFonts w:ascii="Palatino Linotype" w:hAnsi="Palatino Linotype"/>
          <w:i/>
          <w:lang w:val="es-ES_tradnl" w:eastAsia="es-ES"/>
        </w:rPr>
      </w:pPr>
    </w:p>
    <w:p w:rsidR="00FF3CDD" w:rsidRPr="00FF3CDD" w:rsidRDefault="00FF3CDD" w:rsidP="00FF3CDD">
      <w:pPr>
        <w:pStyle w:val="Sinespaciado"/>
        <w:ind w:left="851" w:right="567"/>
        <w:jc w:val="both"/>
        <w:rPr>
          <w:rFonts w:ascii="Palatino Linotype" w:hAnsi="Palatino Linotype"/>
          <w:i/>
          <w:lang w:val="es-ES_tradnl" w:eastAsia="es-ES"/>
        </w:rPr>
      </w:pPr>
      <w:r w:rsidRPr="00FF3CDD">
        <w:rPr>
          <w:rFonts w:ascii="Palatino Linotype" w:hAnsi="Palatino Linotype"/>
          <w:i/>
          <w:lang w:val="es-ES_tradnl" w:eastAsia="es-ES"/>
        </w:rPr>
        <w:t>Se envía respuesta en archivo adjunto.</w:t>
      </w:r>
    </w:p>
    <w:p w:rsidR="00FF3CDD" w:rsidRDefault="00FF3CDD" w:rsidP="00FF3CDD">
      <w:pPr>
        <w:pStyle w:val="Sinespaciado"/>
        <w:ind w:left="851" w:right="567"/>
        <w:jc w:val="both"/>
        <w:rPr>
          <w:rFonts w:ascii="Palatino Linotype" w:hAnsi="Palatino Linotype"/>
          <w:i/>
          <w:lang w:val="es-ES_tradnl" w:eastAsia="es-ES"/>
        </w:rPr>
      </w:pPr>
    </w:p>
    <w:p w:rsidR="00FF3CDD" w:rsidRPr="00FF3CDD" w:rsidRDefault="00FF3CDD" w:rsidP="00FF3CDD">
      <w:pPr>
        <w:pStyle w:val="Sinespaciado"/>
        <w:ind w:left="851" w:right="567"/>
        <w:jc w:val="both"/>
        <w:rPr>
          <w:rFonts w:ascii="Palatino Linotype" w:hAnsi="Palatino Linotype"/>
          <w:i/>
          <w:lang w:val="es-ES_tradnl" w:eastAsia="es-ES"/>
        </w:rPr>
      </w:pPr>
      <w:r w:rsidRPr="00FF3CDD">
        <w:rPr>
          <w:rFonts w:ascii="Palatino Linotype" w:hAnsi="Palatino Linotype"/>
          <w:i/>
          <w:lang w:val="es-ES_tradnl" w:eastAsia="es-ES"/>
        </w:rPr>
        <w:t>ATENTAMENTE</w:t>
      </w:r>
    </w:p>
    <w:p w:rsidR="00AE4797" w:rsidRPr="008E4128" w:rsidRDefault="00FF3CDD" w:rsidP="00FF3CDD">
      <w:pPr>
        <w:pStyle w:val="Sinespaciado"/>
        <w:ind w:left="851" w:right="567"/>
        <w:jc w:val="both"/>
        <w:rPr>
          <w:rFonts w:ascii="Palatino Linotype" w:hAnsi="Palatino Linotype"/>
          <w:i/>
          <w:lang w:val="es-ES_tradnl" w:eastAsia="es-ES"/>
        </w:rPr>
      </w:pPr>
      <w:r w:rsidRPr="00FF3CDD">
        <w:rPr>
          <w:rFonts w:ascii="Palatino Linotype" w:hAnsi="Palatino Linotype"/>
          <w:i/>
          <w:lang w:val="es-ES_tradnl" w:eastAsia="es-ES"/>
        </w:rPr>
        <w:t xml:space="preserve">Lic. </w:t>
      </w:r>
      <w:proofErr w:type="spellStart"/>
      <w:r w:rsidRPr="00FF3CDD">
        <w:rPr>
          <w:rFonts w:ascii="Palatino Linotype" w:hAnsi="Palatino Linotype"/>
          <w:i/>
          <w:lang w:val="es-ES_tradnl" w:eastAsia="es-ES"/>
        </w:rPr>
        <w:t>Veronica</w:t>
      </w:r>
      <w:proofErr w:type="spellEnd"/>
      <w:r w:rsidRPr="00FF3CDD">
        <w:rPr>
          <w:rFonts w:ascii="Palatino Linotype" w:hAnsi="Palatino Linotype"/>
          <w:i/>
          <w:lang w:val="es-ES_tradnl" w:eastAsia="es-ES"/>
        </w:rPr>
        <w:t xml:space="preserve"> Martínez Torres</w:t>
      </w:r>
      <w:r w:rsidR="009B4E7D" w:rsidRPr="008E4128">
        <w:rPr>
          <w:rFonts w:ascii="Palatino Linotype" w:hAnsi="Palatino Linotype"/>
          <w:i/>
          <w:lang w:val="es-ES_tradnl" w:eastAsia="es-ES"/>
        </w:rPr>
        <w:t xml:space="preserve">” </w:t>
      </w:r>
      <w:r w:rsidR="009B4E7D" w:rsidRPr="00FF3CDD">
        <w:rPr>
          <w:rFonts w:ascii="Palatino Linotype" w:hAnsi="Palatino Linotype"/>
          <w:lang w:val="es-ES_tradnl" w:eastAsia="es-ES"/>
        </w:rPr>
        <w:t>(Sic)</w:t>
      </w:r>
      <w:r>
        <w:rPr>
          <w:rFonts w:ascii="Palatino Linotype" w:hAnsi="Palatino Linotype"/>
          <w:lang w:val="es-ES_tradnl" w:eastAsia="es-ES"/>
        </w:rPr>
        <w:t>.</w:t>
      </w:r>
    </w:p>
    <w:p w:rsidR="00E35329" w:rsidRDefault="00E35329"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E35329" w:rsidRPr="00E35329" w:rsidRDefault="00E35329" w:rsidP="00E35329">
      <w:pPr>
        <w:pStyle w:val="Prrafodelista"/>
        <w:numPr>
          <w:ilvl w:val="0"/>
          <w:numId w:val="15"/>
        </w:numPr>
        <w:spacing w:after="0" w:line="360" w:lineRule="auto"/>
        <w:ind w:left="567" w:right="616"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A dicha respuesta se </w:t>
      </w:r>
      <w:r w:rsidR="00FF3CDD">
        <w:rPr>
          <w:rFonts w:ascii="Palatino Linotype" w:eastAsia="Times New Roman" w:hAnsi="Palatino Linotype" w:cs="Times New Roman"/>
          <w:sz w:val="24"/>
          <w:szCs w:val="24"/>
          <w:lang w:val="es-ES_tradnl" w:eastAsia="es-ES"/>
        </w:rPr>
        <w:t xml:space="preserve">anexó el archivo en formato </w:t>
      </w:r>
      <w:r w:rsidR="00FF3CDD">
        <w:rPr>
          <w:rFonts w:ascii="Palatino Linotype" w:eastAsia="Times New Roman" w:hAnsi="Palatino Linotype" w:cs="Times New Roman"/>
          <w:i/>
          <w:sz w:val="24"/>
          <w:szCs w:val="24"/>
          <w:lang w:val="es-ES_tradnl" w:eastAsia="es-ES"/>
        </w:rPr>
        <w:t>PDF</w:t>
      </w:r>
      <w:r w:rsidR="00FF3CDD">
        <w:rPr>
          <w:rFonts w:ascii="Palatino Linotype" w:eastAsia="Times New Roman" w:hAnsi="Palatino Linotype" w:cs="Times New Roman"/>
          <w:sz w:val="24"/>
          <w:szCs w:val="24"/>
          <w:lang w:val="es-ES_tradnl" w:eastAsia="es-ES"/>
        </w:rPr>
        <w:t xml:space="preserve"> denominado </w:t>
      </w:r>
      <w:r w:rsidR="00FF3CDD">
        <w:rPr>
          <w:rFonts w:ascii="Palatino Linotype" w:eastAsia="Times New Roman" w:hAnsi="Palatino Linotype" w:cs="Times New Roman"/>
          <w:b/>
          <w:i/>
          <w:sz w:val="24"/>
          <w:szCs w:val="24"/>
          <w:lang w:val="es-ES_tradnl" w:eastAsia="es-ES"/>
        </w:rPr>
        <w:t>“PAAC133IP18.PDF”</w:t>
      </w:r>
      <w:r w:rsidR="00FF3CDD">
        <w:rPr>
          <w:rFonts w:ascii="Palatino Linotype" w:eastAsia="Times New Roman" w:hAnsi="Palatino Linotype" w:cs="Times New Roman"/>
          <w:sz w:val="24"/>
          <w:szCs w:val="24"/>
          <w:lang w:val="es-ES_tradnl" w:eastAsia="es-ES"/>
        </w:rPr>
        <w:t xml:space="preserve">, el cual contiene el oficio UT/MET/365/2018, de veintidós (22) de agosto de dos mil dieciocho, emitido por la Jefa de la Unidad de Transparencia del </w:t>
      </w:r>
      <w:r w:rsidR="00FF3CDD">
        <w:rPr>
          <w:rFonts w:ascii="Palatino Linotype" w:eastAsia="Times New Roman" w:hAnsi="Palatino Linotype" w:cs="Times New Roman"/>
          <w:b/>
          <w:sz w:val="24"/>
          <w:szCs w:val="24"/>
          <w:lang w:val="es-ES_tradnl" w:eastAsia="es-ES"/>
        </w:rPr>
        <w:t>SUJETO OBLIGADO</w:t>
      </w:r>
      <w:r w:rsidR="00FF3CDD">
        <w:rPr>
          <w:rFonts w:ascii="Palatino Linotype" w:eastAsia="Times New Roman" w:hAnsi="Palatino Linotype" w:cs="Times New Roman"/>
          <w:sz w:val="24"/>
          <w:szCs w:val="24"/>
          <w:lang w:val="es-ES_tradnl" w:eastAsia="es-ES"/>
        </w:rPr>
        <w:t>, mediante el cual, a través d</w:t>
      </w:r>
      <w:r w:rsidR="00734C24">
        <w:rPr>
          <w:rFonts w:ascii="Palatino Linotype" w:eastAsia="Times New Roman" w:hAnsi="Palatino Linotype" w:cs="Times New Roman"/>
          <w:sz w:val="24"/>
          <w:szCs w:val="24"/>
          <w:lang w:val="es-ES_tradnl" w:eastAsia="es-ES"/>
        </w:rPr>
        <w:t xml:space="preserve">e un documento ad hoc, atendió de manera individual a cada uno de los requerimientos planteados por el particular en la solicitud de información </w:t>
      </w:r>
      <w:r w:rsidR="00734C24">
        <w:rPr>
          <w:rFonts w:ascii="Palatino Linotype" w:eastAsia="Times New Roman" w:hAnsi="Palatino Linotype" w:cs="Times New Roman"/>
          <w:b/>
          <w:sz w:val="24"/>
          <w:szCs w:val="24"/>
          <w:lang w:val="es-ES_tradnl" w:eastAsia="es-ES"/>
        </w:rPr>
        <w:t>00133/METEPEC/IP/2018</w:t>
      </w:r>
      <w:r w:rsidR="00734C24">
        <w:rPr>
          <w:rFonts w:ascii="Palatino Linotype" w:eastAsia="Times New Roman" w:hAnsi="Palatino Linotype" w:cs="Times New Roman"/>
          <w:sz w:val="24"/>
          <w:szCs w:val="24"/>
          <w:lang w:val="es-ES_tradnl" w:eastAsia="es-ES"/>
        </w:rPr>
        <w:t>.</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94239C" w:rsidRPr="004440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E30CD7">
        <w:rPr>
          <w:rFonts w:ascii="Palatino Linotype" w:hAnsi="Palatino Linotype" w:cs="Arial"/>
          <w:b/>
        </w:rPr>
        <w:t>RECURRENTE</w:t>
      </w:r>
      <w:r w:rsidR="005F3760">
        <w:rPr>
          <w:rFonts w:ascii="Palatino Linotype" w:hAnsi="Palatino Linotype" w:cs="Arial"/>
        </w:rPr>
        <w:t xml:space="preserve"> en sus motivos de inconformidad, ya no se duele por la totalidad de la información que le fue proporcionada, </w:t>
      </w:r>
      <w:r w:rsidR="00734C24">
        <w:rPr>
          <w:rFonts w:ascii="Palatino Linotype" w:hAnsi="Palatino Linotype" w:cs="Arial"/>
        </w:rPr>
        <w:t>sino que denuncia</w:t>
      </w:r>
      <w:r w:rsidR="005F3760">
        <w:rPr>
          <w:rFonts w:ascii="Palatino Linotype" w:hAnsi="Palatino Linotype" w:cs="Arial"/>
        </w:rPr>
        <w:t xml:space="preserve"> únicamente</w:t>
      </w:r>
      <w:r w:rsidR="00734C24">
        <w:rPr>
          <w:rFonts w:ascii="Palatino Linotype" w:hAnsi="Palatino Linotype" w:cs="Arial"/>
        </w:rPr>
        <w:t xml:space="preserve"> los pronunciamientos hechos a sus preguntas marcadas con los numerales 9, 12, 14 15, 16, 17 y 18, mismas que versan respecto de una clínica veterinaria específica.</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46491C"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5F3760">
        <w:rPr>
          <w:rFonts w:ascii="Palatino Linotype" w:hAnsi="Palatino Linotype" w:cs="Arial"/>
          <w:sz w:val="24"/>
          <w:szCs w:val="24"/>
        </w:rPr>
        <w:t xml:space="preserve">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E30CD7" w:rsidRDefault="00E30CD7" w:rsidP="00E30CD7">
      <w:pPr>
        <w:pStyle w:val="Sinespaciado"/>
        <w:jc w:val="both"/>
        <w:rPr>
          <w:rFonts w:ascii="Palatino Linotype" w:hAnsi="Palatino Linotype"/>
        </w:rPr>
      </w:pPr>
    </w:p>
    <w:p w:rsidR="00734C24" w:rsidRDefault="00E30CD7" w:rsidP="00734C24">
      <w:pPr>
        <w:pStyle w:val="Sinespaciado"/>
        <w:ind w:left="851" w:right="567"/>
        <w:jc w:val="both"/>
        <w:rPr>
          <w:rFonts w:ascii="Palatino Linotype" w:hAnsi="Palatino Linotype"/>
          <w:i/>
        </w:rPr>
      </w:pPr>
      <w:r>
        <w:rPr>
          <w:rFonts w:ascii="Palatino Linotype" w:hAnsi="Palatino Linotype"/>
          <w:i/>
        </w:rPr>
        <w:t>“</w:t>
      </w:r>
      <w:r w:rsidR="00734C24" w:rsidRPr="00734C24">
        <w:rPr>
          <w:rFonts w:ascii="Palatino Linotype" w:hAnsi="Palatino Linotype"/>
          <w:i/>
        </w:rPr>
        <w:t xml:space="preserve">En este orden de ideas, se advierte que su inconformidad no versa sobre la totalidad de la información proporcionada por el Sujeto Obligado, en razón de que el solicitante no manifestó oposición alguna por cuanto hace a los requerimientos marcados con los números 1, 2, 3, 4, 5, 6, 7, 8, 10, 11 y 13. </w:t>
      </w:r>
    </w:p>
    <w:p w:rsidR="00734C24" w:rsidRPr="00734C24" w:rsidRDefault="00734C24" w:rsidP="00734C24">
      <w:pPr>
        <w:pStyle w:val="Sinespaciado"/>
        <w:ind w:left="851" w:right="567"/>
        <w:jc w:val="both"/>
        <w:rPr>
          <w:rFonts w:ascii="Palatino Linotype" w:hAnsi="Palatino Linotype"/>
          <w:i/>
        </w:rPr>
      </w:pPr>
    </w:p>
    <w:p w:rsidR="00734C24" w:rsidRDefault="00734C24" w:rsidP="00734C24">
      <w:pPr>
        <w:pStyle w:val="Sinespaciado"/>
        <w:ind w:left="851" w:right="567"/>
        <w:jc w:val="both"/>
        <w:rPr>
          <w:rFonts w:ascii="Palatino Linotype" w:hAnsi="Palatino Linotype"/>
          <w:i/>
        </w:rPr>
      </w:pPr>
      <w:r w:rsidRPr="00734C24">
        <w:rPr>
          <w:rFonts w:ascii="Palatino Linotype" w:hAnsi="Palatino Linotype"/>
          <w:i/>
        </w:rPr>
        <w:t>Bajo este tenor, la parte de la respuesta que no fue impugnada debe declararse consentida, toda vez que al no realizar manifestaciones de inconformidad al respecto; no pueden producirse efectos jurídicos tendentes a revocar, confirmar o modificar el acto reclamado, ya que, en el caso concreto se infiere que  la información proporcionada por el Sujeto Obligado, por lo que se refiere al segundo requerimiento planteado, satisface la solicitud presentada.</w:t>
      </w:r>
    </w:p>
    <w:p w:rsidR="00734C24" w:rsidRPr="00734C24" w:rsidRDefault="00734C24" w:rsidP="00734C24">
      <w:pPr>
        <w:pStyle w:val="Sinespaciado"/>
        <w:ind w:left="851" w:right="567"/>
        <w:jc w:val="both"/>
        <w:rPr>
          <w:rFonts w:ascii="Palatino Linotype" w:hAnsi="Palatino Linotype"/>
          <w:i/>
        </w:rPr>
      </w:pPr>
    </w:p>
    <w:p w:rsidR="00E30CD7" w:rsidRDefault="00734C24" w:rsidP="00734C24">
      <w:pPr>
        <w:pStyle w:val="Sinespaciado"/>
        <w:ind w:left="851" w:right="567"/>
        <w:jc w:val="both"/>
        <w:rPr>
          <w:rFonts w:ascii="Palatino Linotype" w:hAnsi="Palatino Linotype"/>
          <w:i/>
        </w:rPr>
      </w:pPr>
      <w:r w:rsidRPr="00734C24">
        <w:rPr>
          <w:rFonts w:ascii="Palatino Linotype" w:hAnsi="Palatino Linotype"/>
          <w:i/>
        </w:rPr>
        <w:t>Lo anterior es así, debido a que cuando el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734C24" w:rsidRPr="00E30CD7" w:rsidRDefault="00734C24" w:rsidP="00734C24">
      <w:pPr>
        <w:pStyle w:val="Sinespaciado"/>
        <w:ind w:left="851" w:right="567"/>
        <w:jc w:val="both"/>
        <w:rPr>
          <w:rFonts w:ascii="Palatino Linotype" w:hAnsi="Palatino Linotype"/>
          <w:i/>
        </w:rPr>
      </w:pPr>
    </w:p>
    <w:p w:rsidR="00E30CD7" w:rsidRPr="00E30CD7" w:rsidRDefault="00E30CD7" w:rsidP="00E30CD7">
      <w:pPr>
        <w:pStyle w:val="Sinespaciado"/>
        <w:ind w:left="1134" w:right="851"/>
        <w:jc w:val="both"/>
        <w:rPr>
          <w:rFonts w:ascii="Palatino Linotype" w:hAnsi="Palatino Linotype"/>
          <w:i/>
        </w:rPr>
      </w:pPr>
      <w:r w:rsidRPr="00E30CD7">
        <w:rPr>
          <w:rFonts w:ascii="Palatino Linotype" w:hAnsi="Palatino Linotype"/>
          <w:i/>
        </w:rPr>
        <w:lastRenderedPageBreak/>
        <w:t>“</w:t>
      </w:r>
      <w:r w:rsidRPr="00E30CD7">
        <w:rPr>
          <w:rFonts w:ascii="Palatino Linotype" w:hAnsi="Palatino Linotype"/>
          <w:b/>
          <w:i/>
        </w:rPr>
        <w:t>REVISIÓN EN AMPARO. LOS RESOLUTIVOS NO COMBATIDOS DEBEN DECLARARSE FIRMES</w:t>
      </w:r>
      <w:r w:rsidRPr="00E30CD7">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w:t>
      </w:r>
      <w:r w:rsidRPr="00E30CD7">
        <w:rPr>
          <w:rFonts w:ascii="Palatino Linotype" w:hAnsi="Palatino Linotype"/>
          <w:b/>
          <w:i/>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E30CD7">
        <w:rPr>
          <w:rFonts w:ascii="Palatino Linotype" w:hAnsi="Palatino Linotype"/>
          <w:i/>
        </w:rPr>
        <w:t>.”</w:t>
      </w:r>
    </w:p>
    <w:p w:rsidR="00E30CD7" w:rsidRDefault="00E30CD7" w:rsidP="00E30CD7">
      <w:pPr>
        <w:pStyle w:val="Sinespaciado"/>
        <w:ind w:left="1134" w:right="851"/>
        <w:jc w:val="both"/>
        <w:rPr>
          <w:rFonts w:ascii="Palatino Linotype" w:hAnsi="Palatino Linotype"/>
          <w:i/>
        </w:rPr>
      </w:pPr>
      <w:r w:rsidRPr="00E30CD7">
        <w:rPr>
          <w:rFonts w:ascii="Palatino Linotype" w:hAnsi="Palatino Linotype"/>
          <w:i/>
        </w:rPr>
        <w:t>Énfasis añadido.</w:t>
      </w:r>
    </w:p>
    <w:p w:rsidR="00E30CD7" w:rsidRPr="00E30CD7" w:rsidRDefault="00E30CD7" w:rsidP="00E30CD7">
      <w:pPr>
        <w:pStyle w:val="Sinespaciado"/>
        <w:ind w:left="1134" w:right="851"/>
        <w:jc w:val="both"/>
        <w:rPr>
          <w:rFonts w:ascii="Palatino Linotype" w:hAnsi="Palatino Linotype"/>
          <w:i/>
        </w:rPr>
      </w:pPr>
    </w:p>
    <w:p w:rsidR="00734C24" w:rsidRDefault="00734C24" w:rsidP="00734C24">
      <w:pPr>
        <w:pStyle w:val="Sinespaciado"/>
        <w:ind w:left="851" w:right="567"/>
        <w:jc w:val="both"/>
        <w:rPr>
          <w:rFonts w:ascii="Palatino Linotype" w:hAnsi="Palatino Linotype"/>
          <w:i/>
        </w:rPr>
      </w:pPr>
      <w:r w:rsidRPr="00734C24">
        <w:rPr>
          <w:rFonts w:ascii="Palatino Linotype" w:hAnsi="Palatino Linotype"/>
          <w:i/>
        </w:rPr>
        <w:t xml:space="preserve">Consecuentemente, se reitera que la parte de la solicitud que no fue impugnada debe declararse consentida por el Recurrente, toda vez que no se realizaron manifestaciones de inconformidad, por lo que no pueden producirse efectos jurídicos tendentes a revocar, confirmar o modificar el acto reclamado, pues se deduce la aceptación del Recurrente ante la falta de impugnación eficaz. </w:t>
      </w:r>
    </w:p>
    <w:p w:rsidR="00734C24" w:rsidRPr="00734C24" w:rsidRDefault="00734C24" w:rsidP="00734C24">
      <w:pPr>
        <w:pStyle w:val="Sinespaciado"/>
        <w:ind w:left="851" w:right="567"/>
        <w:jc w:val="both"/>
        <w:rPr>
          <w:rFonts w:ascii="Palatino Linotype" w:hAnsi="Palatino Linotype"/>
          <w:i/>
        </w:rPr>
      </w:pPr>
    </w:p>
    <w:p w:rsidR="00E30CD7" w:rsidRDefault="00734C24" w:rsidP="00734C24">
      <w:pPr>
        <w:pStyle w:val="Sinespaciado"/>
        <w:ind w:left="851" w:right="567"/>
        <w:jc w:val="both"/>
        <w:rPr>
          <w:rFonts w:ascii="Palatino Linotype" w:hAnsi="Palatino Linotype"/>
          <w:i/>
        </w:rPr>
      </w:pPr>
      <w:r w:rsidRPr="00734C24">
        <w:rPr>
          <w:rFonts w:ascii="Palatino Linotype" w:hAnsi="Palatino Linotype"/>
          <w:i/>
        </w:rPr>
        <w:t>Sirve de sustento a lo anterior por analogía la tesis jurisprudencial número VI.3o.C. J/60, publicada en el Semanario Judicial de la Federación y su Gaceta bajo el número de registro 176,608 que a la letra dice:</w:t>
      </w:r>
    </w:p>
    <w:p w:rsidR="00E30CD7" w:rsidRPr="00E30CD7" w:rsidRDefault="00E30CD7" w:rsidP="00E30CD7">
      <w:pPr>
        <w:pStyle w:val="Sinespaciado"/>
        <w:ind w:left="851" w:right="567"/>
        <w:jc w:val="both"/>
        <w:rPr>
          <w:rFonts w:ascii="Palatino Linotype" w:hAnsi="Palatino Linotype"/>
          <w:i/>
        </w:rPr>
      </w:pPr>
    </w:p>
    <w:p w:rsidR="00E30CD7" w:rsidRPr="00E30CD7" w:rsidRDefault="00E30CD7" w:rsidP="00E30CD7">
      <w:pPr>
        <w:pStyle w:val="Sinespaciado"/>
        <w:ind w:left="1134" w:right="851"/>
        <w:jc w:val="both"/>
        <w:rPr>
          <w:rFonts w:ascii="Palatino Linotype" w:hAnsi="Palatino Linotype"/>
          <w:i/>
        </w:rPr>
      </w:pPr>
      <w:r w:rsidRPr="00E30CD7">
        <w:rPr>
          <w:rFonts w:ascii="Palatino Linotype" w:hAnsi="Palatino Linotype"/>
          <w:i/>
        </w:rPr>
        <w:t>“</w:t>
      </w:r>
      <w:r w:rsidRPr="00E30CD7">
        <w:rPr>
          <w:rFonts w:ascii="Palatino Linotype" w:hAnsi="Palatino Linotype"/>
          <w:b/>
          <w:i/>
        </w:rPr>
        <w:t>ACTOS CONSENTIDOS. SON LOS QUE NO SE IMPUGNAN MEDIANTE EL RECURSO IDÓNEO.</w:t>
      </w:r>
      <w:r w:rsidRPr="00E30CD7">
        <w:rPr>
          <w:rFonts w:ascii="Palatino Linotype" w:hAnsi="Palatino Linotype"/>
          <w:i/>
        </w:rPr>
        <w:t xml:space="preserve"> </w:t>
      </w:r>
      <w:r w:rsidRPr="00E30CD7">
        <w:rPr>
          <w:rFonts w:ascii="Palatino Linotype" w:hAnsi="Palatino Linotype"/>
          <w:b/>
          <w:i/>
          <w:u w:val="single"/>
        </w:rPr>
        <w:t>Debe reputarse como consentido el acto que no se impugnó por el medio establecido por la ley</w:t>
      </w:r>
      <w:r w:rsidRPr="00E30CD7">
        <w:rPr>
          <w:rFonts w:ascii="Palatino Linotype" w:hAnsi="Palatino Linotype"/>
          <w:i/>
        </w:rPr>
        <w:t xml:space="preserve">, ya que si se hizo uso de otro no previsto por ella </w:t>
      </w:r>
      <w:r w:rsidRPr="00E30CD7">
        <w:rPr>
          <w:rFonts w:ascii="Palatino Linotype" w:hAnsi="Palatino Linotype"/>
          <w:b/>
          <w:i/>
          <w:u w:val="single"/>
        </w:rPr>
        <w:t>o si se hace una simple manifestación de inconformidad, tales actuaciones no producen efectos jurídicos tendientes a revocar, confirmar o modificar el acto reclamado</w:t>
      </w:r>
      <w:r w:rsidRPr="00E30CD7">
        <w:rPr>
          <w:rFonts w:ascii="Palatino Linotype" w:hAnsi="Palatino Linotype"/>
          <w:i/>
        </w:rPr>
        <w:t xml:space="preserve"> en amparo, lo que significa consentimiento del mismo por falta de impugnación eficaz.”</w:t>
      </w:r>
    </w:p>
    <w:p w:rsidR="00E30CD7" w:rsidRPr="00E30CD7" w:rsidRDefault="00E30CD7" w:rsidP="00E30CD7">
      <w:pPr>
        <w:pStyle w:val="Sinespaciado"/>
        <w:ind w:left="851" w:right="567"/>
        <w:jc w:val="both"/>
        <w:rPr>
          <w:rFonts w:ascii="Palatino Linotype" w:hAnsi="Palatino Linotype"/>
          <w:i/>
        </w:rPr>
      </w:pPr>
    </w:p>
    <w:p w:rsidR="005C79C8" w:rsidRPr="005C79C8" w:rsidRDefault="0046491C"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w:t>
      </w:r>
      <w:r w:rsidR="00734C24">
        <w:rPr>
          <w:rFonts w:ascii="Palatino Linotype" w:hAnsi="Palatino Linotype" w:cs="Arial"/>
          <w:sz w:val="24"/>
          <w:szCs w:val="24"/>
        </w:rPr>
        <w:t>mérito</w:t>
      </w:r>
      <w:r w:rsidRPr="0001046D">
        <w:rPr>
          <w:rFonts w:ascii="Palatino Linotype" w:hAnsi="Palatino Linotype" w:cs="Arial"/>
          <w:sz w:val="24"/>
          <w:szCs w:val="24"/>
        </w:rPr>
        <w:t xml:space="preserve">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 xml:space="preserve">lugar a invocarlos en el derecho humano fundamental de acceder a </w:t>
      </w:r>
      <w:r w:rsidRPr="0001046D">
        <w:rPr>
          <w:rFonts w:ascii="Palatino Linotype" w:hAnsi="Palatino Linotype" w:cs="Arial"/>
          <w:sz w:val="24"/>
          <w:szCs w:val="24"/>
        </w:rPr>
        <w:lastRenderedPageBreak/>
        <w:t>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734C24">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Pr="00651380" w:rsidRDefault="0046491C" w:rsidP="0007397C">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Pr>
          <w:rFonts w:ascii="Palatino Linotype" w:eastAsia="Calibri" w:hAnsi="Palatino Linotype" w:cs="Times New Roman"/>
          <w:sz w:val="24"/>
          <w:szCs w:val="24"/>
          <w:lang w:val="es-ES" w:eastAsia="es-ES"/>
        </w:rPr>
        <w:t>se arriba a la conclusión que el</w:t>
      </w:r>
      <w:r w:rsidRPr="0001046D">
        <w:rPr>
          <w:rFonts w:ascii="Palatino Linotype" w:eastAsia="Calibri" w:hAnsi="Palatino Linotype" w:cs="Times New Roman"/>
          <w:sz w:val="24"/>
          <w:szCs w:val="24"/>
          <w:lang w:val="es-ES" w:eastAsia="es-ES"/>
        </w:rPr>
        <w:t xml:space="preserve"> </w:t>
      </w:r>
      <w:r w:rsidRPr="0001046D">
        <w:rPr>
          <w:rFonts w:ascii="Palatino Linotype" w:eastAsia="Calibri" w:hAnsi="Palatino Linotype" w:cs="Times New Roman"/>
          <w:b/>
          <w:sz w:val="24"/>
          <w:szCs w:val="24"/>
          <w:lang w:val="es-ES" w:eastAsia="es-ES"/>
        </w:rPr>
        <w:t>SUJETO OBLIGADO</w:t>
      </w:r>
      <w:r w:rsidR="0007397C">
        <w:rPr>
          <w:rFonts w:ascii="Palatino Linotype" w:eastAsia="Calibri" w:hAnsi="Palatino Linotype" w:cs="Times New Roman"/>
          <w:b/>
          <w:sz w:val="24"/>
          <w:szCs w:val="24"/>
          <w:lang w:val="es-ES" w:eastAsia="es-ES"/>
        </w:rPr>
        <w:t xml:space="preserve">, </w:t>
      </w:r>
      <w:r w:rsidR="0007397C">
        <w:rPr>
          <w:rFonts w:ascii="Palatino Linotype" w:eastAsia="Calibri" w:hAnsi="Palatino Linotype" w:cs="Times New Roman"/>
          <w:sz w:val="24"/>
          <w:szCs w:val="24"/>
          <w:lang w:val="es-ES" w:eastAsia="es-ES"/>
        </w:rPr>
        <w:t>con su respuesta realizada a través de un documento ad hoc,</w:t>
      </w:r>
      <w:r w:rsidRPr="0001046D">
        <w:rPr>
          <w:rFonts w:ascii="Palatino Linotype" w:eastAsia="Calibri" w:hAnsi="Palatino Linotype" w:cs="Times New Roman"/>
          <w:sz w:val="24"/>
          <w:szCs w:val="24"/>
          <w:lang w:val="es-ES" w:eastAsia="es-ES"/>
        </w:rPr>
        <w:t xml:space="preserve"> </w:t>
      </w:r>
      <w:r w:rsidR="00E30CD7">
        <w:rPr>
          <w:rFonts w:ascii="Palatino Linotype" w:eastAsia="Calibri" w:hAnsi="Palatino Linotype" w:cs="Times New Roman"/>
          <w:sz w:val="24"/>
          <w:szCs w:val="24"/>
          <w:lang w:val="es-ES" w:eastAsia="es-ES"/>
        </w:rPr>
        <w:t xml:space="preserve">no entregó </w:t>
      </w:r>
      <w:r w:rsidR="0007397C">
        <w:rPr>
          <w:rFonts w:ascii="Palatino Linotype" w:eastAsia="Calibri" w:hAnsi="Palatino Linotype" w:cs="Times New Roman"/>
          <w:sz w:val="24"/>
          <w:szCs w:val="24"/>
          <w:lang w:val="es-ES" w:eastAsia="es-ES"/>
        </w:rPr>
        <w:t>los</w:t>
      </w:r>
      <w:r w:rsidR="00E30CD7">
        <w:rPr>
          <w:rFonts w:ascii="Palatino Linotype" w:eastAsia="Calibri" w:hAnsi="Palatino Linotype" w:cs="Times New Roman"/>
          <w:sz w:val="24"/>
          <w:szCs w:val="24"/>
          <w:lang w:val="es-ES" w:eastAsia="es-ES"/>
        </w:rPr>
        <w:t xml:space="preserve"> documento</w:t>
      </w:r>
      <w:r w:rsidR="0007397C">
        <w:rPr>
          <w:rFonts w:ascii="Palatino Linotype" w:eastAsia="Calibri" w:hAnsi="Palatino Linotype" w:cs="Times New Roman"/>
          <w:sz w:val="24"/>
          <w:szCs w:val="24"/>
          <w:lang w:val="es-ES" w:eastAsia="es-ES"/>
        </w:rPr>
        <w:t>s</w:t>
      </w:r>
      <w:r w:rsidR="00E30CD7">
        <w:rPr>
          <w:rFonts w:ascii="Palatino Linotype" w:eastAsia="Calibri" w:hAnsi="Palatino Linotype" w:cs="Times New Roman"/>
          <w:sz w:val="24"/>
          <w:szCs w:val="24"/>
          <w:lang w:val="es-ES" w:eastAsia="es-ES"/>
        </w:rPr>
        <w:t xml:space="preserve"> idóneo</w:t>
      </w:r>
      <w:r w:rsidR="0007397C">
        <w:rPr>
          <w:rFonts w:ascii="Palatino Linotype" w:eastAsia="Calibri" w:hAnsi="Palatino Linotype" w:cs="Times New Roman"/>
          <w:sz w:val="24"/>
          <w:szCs w:val="24"/>
          <w:lang w:val="es-ES" w:eastAsia="es-ES"/>
        </w:rPr>
        <w:t>s</w:t>
      </w:r>
      <w:r w:rsidR="00E30CD7">
        <w:rPr>
          <w:rFonts w:ascii="Palatino Linotype" w:eastAsia="Calibri" w:hAnsi="Palatino Linotype" w:cs="Times New Roman"/>
          <w:sz w:val="24"/>
          <w:szCs w:val="24"/>
          <w:lang w:val="es-ES" w:eastAsia="es-ES"/>
        </w:rPr>
        <w:t xml:space="preserve"> para atender</w:t>
      </w:r>
      <w:r w:rsidR="0007397C">
        <w:rPr>
          <w:rFonts w:ascii="Palatino Linotype" w:eastAsia="Calibri" w:hAnsi="Palatino Linotype" w:cs="Times New Roman"/>
          <w:sz w:val="24"/>
          <w:szCs w:val="24"/>
          <w:lang w:val="es-ES" w:eastAsia="es-ES"/>
        </w:rPr>
        <w:t xml:space="preserve"> en su totalidad</w:t>
      </w:r>
      <w:r w:rsidR="00E30CD7">
        <w:rPr>
          <w:rFonts w:ascii="Palatino Linotype" w:eastAsia="Calibri" w:hAnsi="Palatino Linotype" w:cs="Times New Roman"/>
          <w:sz w:val="24"/>
          <w:szCs w:val="24"/>
          <w:lang w:val="es-ES" w:eastAsia="es-ES"/>
        </w:rPr>
        <w:t xml:space="preserve"> la solicitud de información</w:t>
      </w:r>
      <w:r w:rsidRPr="0001046D">
        <w:rPr>
          <w:rFonts w:ascii="Palatino Linotype" w:eastAsia="Calibri" w:hAnsi="Palatino Linotype" w:cs="Times New Roman"/>
          <w:sz w:val="24"/>
          <w:szCs w:val="24"/>
          <w:lang w:val="es-ES" w:eastAsia="es-ES"/>
        </w:rPr>
        <w:t xml:space="preserve">, </w:t>
      </w:r>
      <w:r w:rsidR="0007397C">
        <w:rPr>
          <w:rFonts w:ascii="Palatino Linotype" w:eastAsia="Calibri" w:hAnsi="Palatino Linotype" w:cs="Times New Roman"/>
          <w:sz w:val="24"/>
          <w:szCs w:val="24"/>
          <w:lang w:val="es-ES" w:eastAsia="es-ES"/>
        </w:rPr>
        <w:t xml:space="preserve">como lo son el documento generado por la visita de inspección a la clínica veterinaria realizada el quince (15) de noviembre de dos mil diecisiete, el registro en el “Padrón de </w:t>
      </w:r>
      <w:r w:rsidR="0007397C" w:rsidRPr="0007397C">
        <w:rPr>
          <w:rFonts w:ascii="Palatino Linotype" w:eastAsia="Calibri" w:hAnsi="Palatino Linotype" w:cs="Times New Roman"/>
          <w:sz w:val="24"/>
          <w:szCs w:val="24"/>
          <w:lang w:val="es-ES" w:eastAsia="es-ES"/>
        </w:rPr>
        <w:t>consultorios, clínicas, hospitales médicos veterinarios o establecimientos que cuenten con venta de productos farmacéuticos para uso veterinario en el municipio</w:t>
      </w:r>
      <w:r w:rsidR="0007397C">
        <w:rPr>
          <w:rFonts w:ascii="Palatino Linotype" w:eastAsia="Calibri" w:hAnsi="Palatino Linotype" w:cs="Times New Roman"/>
          <w:sz w:val="24"/>
          <w:szCs w:val="24"/>
          <w:lang w:val="es-ES" w:eastAsia="es-ES"/>
        </w:rPr>
        <w:t>” y el tratamiento de los residuos biológico-infecciosos del establecimiento; por lo</w:t>
      </w:r>
      <w:r w:rsidR="00260D6C" w:rsidRPr="0001046D">
        <w:rPr>
          <w:rFonts w:ascii="Palatino Linotype" w:eastAsia="Calibri" w:hAnsi="Palatino Linotype" w:cs="Times New Roman"/>
          <w:sz w:val="24"/>
          <w:szCs w:val="24"/>
          <w:lang w:val="es-ES" w:eastAsia="es-ES"/>
        </w:rPr>
        <w:t xml:space="preserve">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 innecesario señalar</w:t>
      </w:r>
      <w:r w:rsidR="00194B6A" w:rsidRPr="0001046D">
        <w:rPr>
          <w:rFonts w:ascii="Palatino Linotype" w:eastAsia="Calibri" w:hAnsi="Palatino Linotype" w:cs="Times New Roman"/>
          <w:sz w:val="24"/>
          <w:szCs w:val="24"/>
          <w:lang w:val="es-ES" w:eastAsia="es-ES"/>
        </w:rPr>
        <w:t xml:space="preserve"> la figura de actos consentidos,</w:t>
      </w:r>
      <w:r w:rsidR="000F6C81">
        <w:rPr>
          <w:rFonts w:ascii="Palatino Linotype" w:eastAsia="Calibri" w:hAnsi="Palatino Linotype" w:cs="Times New Roman"/>
          <w:sz w:val="24"/>
          <w:szCs w:val="24"/>
          <w:lang w:val="es-ES" w:eastAsia="es-ES"/>
        </w:rPr>
        <w:t xml:space="preserve"> lo anterior en atención a que</w:t>
      </w:r>
      <w:r w:rsidR="00194B6A" w:rsidRPr="0001046D">
        <w:rPr>
          <w:rFonts w:ascii="Palatino Linotype" w:eastAsia="Calibri" w:hAnsi="Palatino Linotype" w:cs="Times New Roman"/>
          <w:sz w:val="24"/>
          <w:szCs w:val="24"/>
          <w:lang w:val="es-ES" w:eastAsia="es-ES"/>
        </w:rPr>
        <w:t xml:space="preserve"> éste insti</w:t>
      </w:r>
      <w:r w:rsidR="000F6C81">
        <w:rPr>
          <w:rFonts w:ascii="Palatino Linotype" w:eastAsia="Calibri" w:hAnsi="Palatino Linotype" w:cs="Times New Roman"/>
          <w:sz w:val="24"/>
          <w:szCs w:val="24"/>
          <w:lang w:val="es-ES" w:eastAsia="es-ES"/>
        </w:rPr>
        <w:t xml:space="preserve">tuto como órgano garante,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Pr>
          <w:rFonts w:ascii="Palatino Linotype" w:eastAsia="Calibri" w:hAnsi="Palatino Linotype" w:cs="Times New Roman"/>
          <w:sz w:val="24"/>
          <w:szCs w:val="24"/>
          <w:lang w:val="es-ES" w:eastAsia="es-ES"/>
        </w:rPr>
        <w:t>rlo invocando el multicitado argumento de</w:t>
      </w:r>
      <w:r w:rsidR="00E6129E">
        <w:rPr>
          <w:rFonts w:ascii="Palatino Linotype" w:eastAsia="Calibri" w:hAnsi="Palatino Linotype" w:cs="Times New Roman"/>
          <w:sz w:val="24"/>
          <w:szCs w:val="24"/>
          <w:lang w:val="es-ES" w:eastAsia="es-ES"/>
        </w:rPr>
        <w:t xml:space="preserve"> actos consentidos, </w:t>
      </w:r>
      <w:r w:rsidR="0007397C">
        <w:rPr>
          <w:rFonts w:ascii="Palatino Linotype" w:eastAsia="Calibri" w:hAnsi="Palatino Linotype" w:cs="Times New Roman"/>
          <w:sz w:val="24"/>
          <w:szCs w:val="24"/>
          <w:lang w:val="es-ES" w:eastAsia="es-ES"/>
        </w:rPr>
        <w:t>resultando en una contradicción de exhaustividad el analizar a cabalidad solo una fracción de la respuesta a la solicitud de información</w:t>
      </w:r>
      <w:r w:rsidR="00E6129E">
        <w:rPr>
          <w:rFonts w:ascii="Palatino Linotype" w:eastAsia="Calibri" w:hAnsi="Palatino Linotype" w:cs="Times New Roman"/>
          <w:sz w:val="24"/>
          <w:szCs w:val="24"/>
          <w:lang w:val="es-ES" w:eastAsia="es-ES"/>
        </w:rPr>
        <w:t>.</w:t>
      </w:r>
    </w:p>
    <w:p w:rsidR="00651380" w:rsidRPr="00651380" w:rsidRDefault="00651380" w:rsidP="00651380">
      <w:pPr>
        <w:spacing w:before="240" w:after="240" w:line="360" w:lineRule="auto"/>
        <w:ind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3" w:name="_Toc530499262"/>
      <w:r w:rsidRPr="0001046D">
        <w:rPr>
          <w:rFonts w:ascii="Palatino Linotype" w:hAnsi="Palatino Linotype"/>
          <w:b/>
          <w:color w:val="auto"/>
          <w:sz w:val="24"/>
          <w:szCs w:val="24"/>
        </w:rPr>
        <w:lastRenderedPageBreak/>
        <w:t>Los actos consentidos no deben invocarse en el derecho fundamental de acceder a la información pública gubernamental.</w:t>
      </w:r>
      <w:bookmarkEnd w:id="3"/>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734C2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w:t>
      </w:r>
      <w:r w:rsidRPr="0007397C">
        <w:rPr>
          <w:rFonts w:ascii="Palatino Linotype" w:hAnsi="Palatino Linotype" w:cs="Arial"/>
          <w:i/>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Fonts w:ascii="Palatino Linotype" w:hAnsi="Palatino Linotype" w:cs="Arial"/>
          <w:sz w:val="24"/>
          <w:szCs w:val="24"/>
        </w:rPr>
        <w:t>”.</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w:t>
      </w:r>
      <w:r w:rsidRPr="0007397C">
        <w:rPr>
          <w:rFonts w:ascii="Palatino Linotype" w:hAnsi="Palatino Linotype" w:cs="Arial"/>
          <w:i/>
          <w:sz w:val="24"/>
          <w:szCs w:val="24"/>
        </w:rPr>
        <w:t>“…es siempre obligatoria… respecto de los errores o defectos de los conceptos de violación expresados en la demanda, así como los de los agravios formulados en los recursos que el mismo ordenamiento establece</w:t>
      </w:r>
      <w:r w:rsidRPr="0001046D">
        <w:rPr>
          <w:rFonts w:ascii="Palatino Linotype" w:hAnsi="Palatino Linotype" w:cs="Arial"/>
          <w:sz w:val="24"/>
          <w:szCs w:val="24"/>
        </w:rPr>
        <w:t>”.</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734C24">
      <w:pPr>
        <w:tabs>
          <w:tab w:val="left" w:pos="426"/>
        </w:tabs>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w:t>
      </w:r>
      <w:r w:rsidRPr="0001046D">
        <w:rPr>
          <w:rFonts w:ascii="Palatino Linotype" w:hAnsi="Palatino Linotype" w:cs="Arial"/>
          <w:sz w:val="24"/>
          <w:szCs w:val="24"/>
        </w:rPr>
        <w:lastRenderedPageBreak/>
        <w:t xml:space="preserve">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xml:space="preserve">, de tal forma que cualquier esfuerzo que se haga en el sentido de cumplir con dicho mandato no resulta ocioso ni sobra sino demuestra el grado de compromiso de la autoridad con este aspecto toral de la reforma constitucional del </w:t>
      </w:r>
      <w:r w:rsidR="0007397C">
        <w:rPr>
          <w:rFonts w:ascii="Palatino Linotype" w:hAnsi="Palatino Linotype" w:cs="Arial"/>
          <w:sz w:val="24"/>
          <w:szCs w:val="24"/>
        </w:rPr>
        <w:t>diez (10)</w:t>
      </w:r>
      <w:r w:rsidRPr="0001046D">
        <w:rPr>
          <w:rFonts w:ascii="Palatino Linotype" w:hAnsi="Palatino Linotype" w:cs="Arial"/>
          <w:sz w:val="24"/>
          <w:szCs w:val="24"/>
        </w:rPr>
        <w:t xml:space="preserve"> de junio de </w:t>
      </w:r>
      <w:r w:rsidR="0007397C">
        <w:rPr>
          <w:rFonts w:ascii="Palatino Linotype" w:hAnsi="Palatino Linotype" w:cs="Arial"/>
          <w:sz w:val="24"/>
          <w:szCs w:val="24"/>
        </w:rPr>
        <w:t>dos mil once</w:t>
      </w:r>
      <w:r w:rsidRPr="0001046D">
        <w:rPr>
          <w:rFonts w:ascii="Palatino Linotype" w:hAnsi="Palatino Linotype" w:cs="Arial"/>
          <w:sz w:val="24"/>
          <w:szCs w:val="24"/>
        </w:rPr>
        <w:t>.</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E6129E" w:rsidRDefault="0046491C" w:rsidP="00E6129E">
      <w:pPr>
        <w:pStyle w:val="Sinespaciado"/>
        <w:ind w:left="851" w:right="567"/>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7397C" w:rsidRPr="0001046D" w:rsidRDefault="0007397C" w:rsidP="0007397C">
      <w:pPr>
        <w:pStyle w:val="Prrafodelista"/>
        <w:tabs>
          <w:tab w:val="left" w:pos="426"/>
        </w:tabs>
        <w:spacing w:after="0" w:line="360" w:lineRule="auto"/>
        <w:ind w:left="0"/>
        <w:jc w:val="both"/>
        <w:rPr>
          <w:rFonts w:ascii="Palatino Linotype" w:hAnsi="Palatino Linotype" w:cs="Arial"/>
          <w:sz w:val="24"/>
          <w:szCs w:val="24"/>
        </w:rPr>
      </w:pPr>
    </w:p>
    <w:p w:rsidR="0046491C" w:rsidRPr="0001046D" w:rsidRDefault="00E6129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w:t>
      </w:r>
      <w:r w:rsidR="0046491C" w:rsidRPr="0007397C">
        <w:rPr>
          <w:rFonts w:ascii="Palatino Linotype" w:hAnsi="Palatino Linotype" w:cs="Arial"/>
          <w:i/>
          <w:sz w:val="24"/>
          <w:szCs w:val="24"/>
        </w:rPr>
        <w:t>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r w:rsidR="0046491C" w:rsidRPr="0001046D">
        <w:rPr>
          <w:rFonts w:ascii="Palatino Linotype" w:hAnsi="Palatino Linotype" w:cs="Arial"/>
          <w:sz w:val="24"/>
          <w:szCs w:val="24"/>
        </w:rPr>
        <w:t>”.</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w:t>
      </w:r>
      <w:r w:rsidRPr="0007397C">
        <w:rPr>
          <w:rFonts w:ascii="Palatino Linotype" w:hAnsi="Palatino Linotype" w:cs="Arial"/>
          <w:i/>
          <w:sz w:val="24"/>
          <w:szCs w:val="24"/>
        </w:rPr>
        <w:t>la obligatoriedad de la norma depende de la validez de su justificación, que es, por consiguiente el fundamento de aquella</w:t>
      </w:r>
      <w:r w:rsidRPr="0001046D">
        <w:rPr>
          <w:rFonts w:ascii="Palatino Linotype" w:hAnsi="Palatino Linotype" w:cs="Arial"/>
          <w:sz w:val="24"/>
          <w:szCs w:val="24"/>
        </w:rPr>
        <w:t>”,</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Mucho menos si consideramos el siguiente criterio: </w:t>
      </w:r>
    </w:p>
    <w:p w:rsidR="0046491C" w:rsidRDefault="0046491C" w:rsidP="00E6129E">
      <w:pPr>
        <w:pStyle w:val="Sinespaciado"/>
        <w:ind w:left="851" w:right="1134"/>
        <w:jc w:val="both"/>
        <w:rPr>
          <w:rFonts w:ascii="Palatino Linotype" w:hAnsi="Palatino Linotype"/>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07397C" w:rsidRPr="0007397C" w:rsidRDefault="0007397C" w:rsidP="00E6129E">
      <w:pPr>
        <w:pStyle w:val="Sinespaciado"/>
        <w:ind w:left="851" w:right="1134"/>
        <w:jc w:val="both"/>
        <w:rPr>
          <w:rFonts w:ascii="Palatino Linotype" w:hAnsi="Palatino Linotype"/>
        </w:rPr>
      </w:pPr>
      <w:r>
        <w:rPr>
          <w:rFonts w:ascii="Palatino Linotype" w:hAnsi="Palatino Linotype"/>
        </w:rPr>
        <w:t>(Énfasis añadido)</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07397C" w:rsidP="00734C2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Pr>
          <w:rFonts w:ascii="Palatino Linotype" w:hAnsi="Palatino Linotype" w:cs="Arial"/>
          <w:sz w:val="24"/>
          <w:szCs w:val="24"/>
        </w:rPr>
        <w:lastRenderedPageBreak/>
        <w:t>Así las cosas, y atendiendo lo previamente expuesto, resulta</w:t>
      </w:r>
      <w:r w:rsidR="0046491C" w:rsidRPr="00A71441">
        <w:rPr>
          <w:rFonts w:ascii="Palatino Linotype" w:hAnsi="Palatino Linotype" w:cs="Arial"/>
          <w:sz w:val="24"/>
          <w:szCs w:val="24"/>
        </w:rPr>
        <w:t xml:space="preserve"> innecesario incorporar en las resoluciones de un Órgano Garante como lo es el Instituto de Transparencia, Acceso a la Información Pública y Protección de Datos Per</w:t>
      </w:r>
      <w:r>
        <w:rPr>
          <w:rFonts w:ascii="Palatino Linotype" w:hAnsi="Palatino Linotype" w:cs="Arial"/>
          <w:sz w:val="24"/>
          <w:szCs w:val="24"/>
        </w:rPr>
        <w:t xml:space="preserve">sonales del Estado de México y </w:t>
      </w:r>
      <w:r w:rsidR="0046491C" w:rsidRPr="00A71441">
        <w:rPr>
          <w:rFonts w:ascii="Palatino Linotype" w:hAnsi="Palatino Linotype" w:cs="Arial"/>
          <w:sz w:val="24"/>
          <w:szCs w:val="24"/>
        </w:rPr>
        <w:t>Muni</w:t>
      </w:r>
      <w:r w:rsidR="00E6129E">
        <w:rPr>
          <w:rFonts w:ascii="Palatino Linotype" w:hAnsi="Palatino Linotype" w:cs="Arial"/>
          <w:sz w:val="24"/>
          <w:szCs w:val="24"/>
        </w:rPr>
        <w:t>cipios</w:t>
      </w:r>
      <w:r>
        <w:rPr>
          <w:rFonts w:ascii="Palatino Linotype" w:hAnsi="Palatino Linotype" w:cs="Arial"/>
          <w:sz w:val="24"/>
          <w:szCs w:val="24"/>
        </w:rPr>
        <w:t>,</w:t>
      </w:r>
      <w:r w:rsidR="00E6129E">
        <w:rPr>
          <w:rFonts w:ascii="Palatino Linotype" w:hAnsi="Palatino Linotype" w:cs="Arial"/>
          <w:sz w:val="24"/>
          <w:szCs w:val="24"/>
        </w:rPr>
        <w:t xml:space="preserve"> </w:t>
      </w:r>
      <w:r>
        <w:rPr>
          <w:rFonts w:ascii="Palatino Linotype" w:hAnsi="Palatino Linotype" w:cs="Arial"/>
          <w:sz w:val="24"/>
          <w:szCs w:val="24"/>
        </w:rPr>
        <w:t>l</w:t>
      </w:r>
      <w:r w:rsidR="00E6129E">
        <w:rPr>
          <w:rFonts w:ascii="Palatino Linotype" w:hAnsi="Palatino Linotype" w:cs="Arial"/>
          <w:sz w:val="24"/>
          <w:szCs w:val="24"/>
        </w:rPr>
        <w:t xml:space="preserve">os actos consentidos </w:t>
      </w:r>
      <w:r w:rsidR="0046491C" w:rsidRPr="00A71441">
        <w:rPr>
          <w:rFonts w:ascii="Palatino Linotype" w:hAnsi="Palatino Linotype" w:cs="Arial"/>
          <w:sz w:val="24"/>
          <w:szCs w:val="24"/>
        </w:rPr>
        <w:t xml:space="preserve">toda vez que los particulares al no impugnar alguno de los requerimientos solicitados, y de la </w:t>
      </w:r>
      <w:r w:rsidR="0046491C" w:rsidRPr="0007397C">
        <w:rPr>
          <w:rFonts w:ascii="Palatino Linotype" w:hAnsi="Palatino Linotype" w:cs="Arial"/>
          <w:sz w:val="24"/>
          <w:szCs w:val="24"/>
        </w:rPr>
        <w:t xml:space="preserve">respuesta ofrecida por parte de los </w:t>
      </w:r>
      <w:r w:rsidR="0046491C" w:rsidRPr="0007397C">
        <w:rPr>
          <w:rFonts w:ascii="Palatino Linotype" w:hAnsi="Palatino Linotype" w:cs="Arial"/>
          <w:b/>
          <w:sz w:val="24"/>
          <w:szCs w:val="24"/>
        </w:rPr>
        <w:t>SUJETOS OBLIGADOS</w:t>
      </w:r>
      <w:r w:rsidR="0046491C" w:rsidRPr="0007397C">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w:t>
      </w:r>
      <w:r w:rsidR="0046491C" w:rsidRPr="0007397C">
        <w:rPr>
          <w:rFonts w:ascii="Palatino Linotype" w:hAnsi="Palatino Linotype" w:cs="Arial"/>
          <w:b/>
          <w:sz w:val="24"/>
          <w:szCs w:val="24"/>
          <w:u w:val="single"/>
        </w:rPr>
        <w:t>suplencia de la queja</w:t>
      </w:r>
      <w:r w:rsidR="0046491C" w:rsidRPr="0007397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46491C" w:rsidRPr="00F90F3D" w:rsidRDefault="0046491C" w:rsidP="00F90F3D">
      <w:pPr>
        <w:pStyle w:val="Sinespaciado"/>
        <w:ind w:left="851" w:right="567"/>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F90F3D">
        <w:rPr>
          <w:rFonts w:ascii="Palatino Linotype" w:hAnsi="Palatino Linotype"/>
          <w:i/>
        </w:rPr>
        <w:lastRenderedPageBreak/>
        <w:t xml:space="preserve">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734C24">
      <w:pPr>
        <w:pStyle w:val="Prrafodelista"/>
        <w:tabs>
          <w:tab w:val="left" w:pos="426"/>
        </w:tabs>
        <w:spacing w:after="0" w:line="360" w:lineRule="auto"/>
        <w:ind w:left="426"/>
        <w:jc w:val="both"/>
        <w:rPr>
          <w:rFonts w:ascii="Palatino Linotype" w:hAnsi="Palatino Linotype" w:cs="Arial"/>
          <w:sz w:val="24"/>
          <w:szCs w:val="24"/>
        </w:rPr>
      </w:pPr>
    </w:p>
    <w:p w:rsidR="0046491C" w:rsidRPr="0001046D" w:rsidRDefault="00F15D8D"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Dicho lo anterior, c</w:t>
      </w:r>
      <w:r w:rsidR="0046491C" w:rsidRPr="0001046D">
        <w:rPr>
          <w:rFonts w:ascii="Palatino Linotype" w:hAnsi="Palatino Linotype" w:cs="Arial"/>
          <w:sz w:val="24"/>
          <w:szCs w:val="24"/>
        </w:rPr>
        <w:t>onsidero que no se justifica el argumento que se ha señalado en múltiples ocasiones y que comparte l</w:t>
      </w:r>
      <w:r>
        <w:rPr>
          <w:rFonts w:ascii="Palatino Linotype" w:hAnsi="Palatino Linotype" w:cs="Arial"/>
          <w:sz w:val="24"/>
          <w:szCs w:val="24"/>
        </w:rPr>
        <w:t>a mayoría en relación a “</w:t>
      </w:r>
      <w:r w:rsidRPr="00F15D8D">
        <w:rPr>
          <w:rFonts w:ascii="Palatino Linotype" w:hAnsi="Palatino Linotype" w:cs="Arial"/>
          <w:i/>
          <w:sz w:val="24"/>
          <w:szCs w:val="24"/>
        </w:rPr>
        <w:t>si no e</w:t>
      </w:r>
      <w:r w:rsidR="0046491C" w:rsidRPr="00F15D8D">
        <w:rPr>
          <w:rFonts w:ascii="Palatino Linotype" w:hAnsi="Palatino Linotype" w:cs="Arial"/>
          <w:i/>
          <w:sz w:val="24"/>
          <w:szCs w:val="24"/>
        </w:rPr>
        <w:t>st</w:t>
      </w:r>
      <w:r w:rsidRPr="00F15D8D">
        <w:rPr>
          <w:rFonts w:ascii="Palatino Linotype" w:hAnsi="Palatino Linotype" w:cs="Arial"/>
          <w:i/>
          <w:sz w:val="24"/>
          <w:szCs w:val="24"/>
        </w:rPr>
        <w:t>á</w:t>
      </w:r>
      <w:r w:rsidR="0046491C" w:rsidRPr="00F15D8D">
        <w:rPr>
          <w:rFonts w:ascii="Palatino Linotype" w:hAnsi="Palatino Linotype" w:cs="Arial"/>
          <w:i/>
          <w:sz w:val="24"/>
          <w:szCs w:val="24"/>
        </w:rPr>
        <w:t xml:space="preserve"> expresa razón o motivo de inconformidad en contra de todos los rubros solicitados, dichos rubros deben declararse atendidos, pues se infiere que el recurrente ésta conforme con la información entregada al no contravenir la misma</w:t>
      </w:r>
      <w:r w:rsidR="0046491C" w:rsidRPr="0001046D">
        <w:rPr>
          <w:rFonts w:ascii="Palatino Linotype" w:hAnsi="Palatino Linotype" w:cs="Arial"/>
          <w:sz w:val="24"/>
          <w:szCs w:val="24"/>
        </w:rPr>
        <w:t xml:space="preserve">”.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w:t>
      </w:r>
      <w:r w:rsidR="0046491C" w:rsidRPr="0001046D">
        <w:rPr>
          <w:rFonts w:ascii="Palatino Linotype" w:hAnsi="Palatino Linotype" w:cs="Arial"/>
          <w:sz w:val="24"/>
          <w:szCs w:val="24"/>
        </w:rPr>
        <w:lastRenderedPageBreak/>
        <w:t>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B62486" w:rsidRDefault="00B62486"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p>
    <w:sectPr w:rsidR="00575478" w:rsidRPr="0001046D"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826" w:rsidRDefault="00874826" w:rsidP="00E706DA">
      <w:pPr>
        <w:spacing w:after="0" w:line="240" w:lineRule="auto"/>
      </w:pPr>
      <w:r>
        <w:separator/>
      </w:r>
    </w:p>
  </w:endnote>
  <w:endnote w:type="continuationSeparator" w:id="0">
    <w:p w:rsidR="00874826" w:rsidRDefault="00874826"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D4A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D4A88">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D4A88">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ED4A8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D4A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826" w:rsidRDefault="00874826" w:rsidP="00E706DA">
      <w:pPr>
        <w:spacing w:after="0" w:line="240" w:lineRule="auto"/>
      </w:pPr>
      <w:r>
        <w:separator/>
      </w:r>
    </w:p>
  </w:footnote>
  <w:footnote w:type="continuationSeparator" w:id="0">
    <w:p w:rsidR="00874826" w:rsidRDefault="00874826"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4A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4A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ED4A8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4A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7397C"/>
    <w:rsid w:val="00073F0D"/>
    <w:rsid w:val="000951B4"/>
    <w:rsid w:val="000A77B5"/>
    <w:rsid w:val="000A7B66"/>
    <w:rsid w:val="000F6C81"/>
    <w:rsid w:val="000F6CBB"/>
    <w:rsid w:val="00105730"/>
    <w:rsid w:val="00122625"/>
    <w:rsid w:val="00194B6A"/>
    <w:rsid w:val="001D3F34"/>
    <w:rsid w:val="0020315F"/>
    <w:rsid w:val="002036ED"/>
    <w:rsid w:val="00222DD9"/>
    <w:rsid w:val="00225026"/>
    <w:rsid w:val="00260D6C"/>
    <w:rsid w:val="002620E9"/>
    <w:rsid w:val="00281310"/>
    <w:rsid w:val="002C1F75"/>
    <w:rsid w:val="00302832"/>
    <w:rsid w:val="00346DBD"/>
    <w:rsid w:val="00367E00"/>
    <w:rsid w:val="003705BB"/>
    <w:rsid w:val="003747A5"/>
    <w:rsid w:val="003837C2"/>
    <w:rsid w:val="00385E96"/>
    <w:rsid w:val="003D7B9E"/>
    <w:rsid w:val="00412952"/>
    <w:rsid w:val="00413496"/>
    <w:rsid w:val="00424DE3"/>
    <w:rsid w:val="00444048"/>
    <w:rsid w:val="0046491C"/>
    <w:rsid w:val="0048490F"/>
    <w:rsid w:val="004F5418"/>
    <w:rsid w:val="00532410"/>
    <w:rsid w:val="00575478"/>
    <w:rsid w:val="005A3267"/>
    <w:rsid w:val="005C79C8"/>
    <w:rsid w:val="005F3760"/>
    <w:rsid w:val="00634736"/>
    <w:rsid w:val="00651380"/>
    <w:rsid w:val="006728FD"/>
    <w:rsid w:val="00673293"/>
    <w:rsid w:val="0069498B"/>
    <w:rsid w:val="006E1859"/>
    <w:rsid w:val="006E2606"/>
    <w:rsid w:val="00717C0D"/>
    <w:rsid w:val="0072136B"/>
    <w:rsid w:val="00734C24"/>
    <w:rsid w:val="0076241F"/>
    <w:rsid w:val="00770016"/>
    <w:rsid w:val="00790E37"/>
    <w:rsid w:val="007A7FAD"/>
    <w:rsid w:val="007E2CF8"/>
    <w:rsid w:val="00814E97"/>
    <w:rsid w:val="008361CA"/>
    <w:rsid w:val="00850252"/>
    <w:rsid w:val="00856FA1"/>
    <w:rsid w:val="00874826"/>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B4E7D"/>
    <w:rsid w:val="009C4EF6"/>
    <w:rsid w:val="00A63717"/>
    <w:rsid w:val="00A71441"/>
    <w:rsid w:val="00AA49F3"/>
    <w:rsid w:val="00AB023D"/>
    <w:rsid w:val="00AB126B"/>
    <w:rsid w:val="00AC381E"/>
    <w:rsid w:val="00AE4797"/>
    <w:rsid w:val="00AE58DA"/>
    <w:rsid w:val="00AF73BC"/>
    <w:rsid w:val="00B120CA"/>
    <w:rsid w:val="00B62486"/>
    <w:rsid w:val="00BB5560"/>
    <w:rsid w:val="00BC7B0C"/>
    <w:rsid w:val="00BD7839"/>
    <w:rsid w:val="00BF3534"/>
    <w:rsid w:val="00CE0823"/>
    <w:rsid w:val="00CF71F8"/>
    <w:rsid w:val="00D33AF9"/>
    <w:rsid w:val="00D363F7"/>
    <w:rsid w:val="00D72985"/>
    <w:rsid w:val="00D7508B"/>
    <w:rsid w:val="00DA6B18"/>
    <w:rsid w:val="00DF6F7E"/>
    <w:rsid w:val="00E30CD7"/>
    <w:rsid w:val="00E34F08"/>
    <w:rsid w:val="00E35329"/>
    <w:rsid w:val="00E6129E"/>
    <w:rsid w:val="00E61AB8"/>
    <w:rsid w:val="00E706DA"/>
    <w:rsid w:val="00E83E93"/>
    <w:rsid w:val="00E90EB5"/>
    <w:rsid w:val="00E94FBF"/>
    <w:rsid w:val="00EA2C08"/>
    <w:rsid w:val="00ED288D"/>
    <w:rsid w:val="00ED4A88"/>
    <w:rsid w:val="00ED57EE"/>
    <w:rsid w:val="00EF0C2D"/>
    <w:rsid w:val="00F15D8D"/>
    <w:rsid w:val="00F25783"/>
    <w:rsid w:val="00F45161"/>
    <w:rsid w:val="00F46E7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3956</Words>
  <Characters>21760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2018-02-08T00:18:00Z</cp:lastPrinted>
  <dcterms:created xsi:type="dcterms:W3CDTF">2018-11-20T23:50:00Z</dcterms:created>
  <dcterms:modified xsi:type="dcterms:W3CDTF">2019-01-18T01:10:00Z</dcterms:modified>
</cp:coreProperties>
</file>